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0F4DD" w14:textId="6B260E34" w:rsidR="00CC6093" w:rsidRPr="00811E8D" w:rsidRDefault="00AD2E13" w:rsidP="00811E8D">
      <w:pPr>
        <w:spacing w:line="360" w:lineRule="auto"/>
        <w:contextualSpacing/>
        <w:jc w:val="center"/>
        <w:rPr>
          <w:rFonts w:ascii="Arial" w:hAnsi="Arial" w:cs="Arial"/>
          <w:b/>
          <w:spacing w:val="0"/>
          <w:position w:val="0"/>
        </w:rPr>
      </w:pPr>
      <w:r w:rsidRPr="00811E8D">
        <w:rPr>
          <w:rFonts w:ascii="Arial" w:hAnsi="Arial" w:cs="Arial"/>
          <w:b/>
          <w:spacing w:val="0"/>
          <w:position w:val="0"/>
        </w:rPr>
        <w:t>Doenças osteomusculares: perspectiva da evolução no Estado de São Paulo</w:t>
      </w:r>
    </w:p>
    <w:p w14:paraId="5DFE2BF1" w14:textId="77777777" w:rsidR="00811E8D" w:rsidRPr="00811E8D" w:rsidRDefault="00811E8D" w:rsidP="00811E8D">
      <w:pPr>
        <w:spacing w:line="360" w:lineRule="auto"/>
        <w:contextualSpacing/>
        <w:jc w:val="both"/>
        <w:rPr>
          <w:rFonts w:ascii="Arial" w:hAnsi="Arial" w:cs="Arial"/>
          <w:b/>
          <w:spacing w:val="0"/>
          <w:position w:val="0"/>
        </w:rPr>
      </w:pPr>
    </w:p>
    <w:p w14:paraId="1CBC0F72" w14:textId="6C89B801" w:rsidR="009A3D3A" w:rsidRPr="00811E8D" w:rsidRDefault="009A3D3A" w:rsidP="00811E8D">
      <w:pPr>
        <w:spacing w:line="360" w:lineRule="auto"/>
        <w:contextualSpacing/>
        <w:jc w:val="both"/>
        <w:rPr>
          <w:rFonts w:ascii="Arial" w:hAnsi="Arial" w:cs="Arial"/>
          <w:b/>
          <w:bCs/>
          <w:spacing w:val="0"/>
          <w:position w:val="0"/>
        </w:rPr>
      </w:pPr>
      <w:r w:rsidRPr="00811E8D">
        <w:rPr>
          <w:rFonts w:ascii="Arial" w:hAnsi="Arial" w:cs="Arial"/>
          <w:b/>
          <w:spacing w:val="0"/>
          <w:position w:val="0"/>
        </w:rPr>
        <w:t>Resumo</w:t>
      </w:r>
      <w:r w:rsidR="00811E8D" w:rsidRPr="00811E8D">
        <w:rPr>
          <w:rFonts w:ascii="Arial" w:hAnsi="Arial" w:cs="Arial"/>
          <w:b/>
          <w:spacing w:val="0"/>
          <w:position w:val="0"/>
        </w:rPr>
        <w:t xml:space="preserve">: </w:t>
      </w:r>
      <w:r w:rsidR="00811E8D" w:rsidRPr="00811E8D">
        <w:rPr>
          <w:rFonts w:ascii="Arial" w:hAnsi="Arial" w:cs="Arial"/>
          <w:bCs/>
          <w:spacing w:val="0"/>
          <w:position w:val="0"/>
        </w:rPr>
        <w:t>A</w:t>
      </w:r>
      <w:r w:rsidR="00787A66" w:rsidRPr="00811E8D">
        <w:rPr>
          <w:rFonts w:ascii="Arial" w:hAnsi="Arial" w:cs="Arial"/>
          <w:spacing w:val="0"/>
          <w:position w:val="0"/>
        </w:rPr>
        <w:t xml:space="preserve">s Doenças Osteomusculares Relacionadas ao Trabalho (DORT) </w:t>
      </w:r>
      <w:r w:rsidR="000913AB" w:rsidRPr="00811E8D">
        <w:rPr>
          <w:rFonts w:ascii="Arial" w:hAnsi="Arial" w:cs="Arial"/>
          <w:spacing w:val="0"/>
          <w:position w:val="0"/>
        </w:rPr>
        <w:t>são consideradas doenças ocupacionais com</w:t>
      </w:r>
      <w:r w:rsidR="00787A66" w:rsidRPr="00811E8D">
        <w:rPr>
          <w:rFonts w:ascii="Arial" w:hAnsi="Arial" w:cs="Arial"/>
          <w:spacing w:val="0"/>
          <w:position w:val="0"/>
        </w:rPr>
        <w:t xml:space="preserve"> </w:t>
      </w:r>
      <w:r w:rsidR="00A90103" w:rsidRPr="00811E8D">
        <w:rPr>
          <w:rFonts w:ascii="Arial" w:hAnsi="Arial" w:cs="Arial"/>
          <w:spacing w:val="0"/>
          <w:position w:val="0"/>
        </w:rPr>
        <w:t>distúrbios</w:t>
      </w:r>
      <w:r w:rsidR="00787A66" w:rsidRPr="00811E8D">
        <w:rPr>
          <w:rFonts w:ascii="Arial" w:hAnsi="Arial" w:cs="Arial"/>
          <w:spacing w:val="0"/>
          <w:position w:val="0"/>
        </w:rPr>
        <w:t xml:space="preserve"> nas estruturas</w:t>
      </w:r>
      <w:r w:rsidR="006E2A46" w:rsidRPr="00811E8D">
        <w:rPr>
          <w:rFonts w:ascii="Arial" w:hAnsi="Arial" w:cs="Arial"/>
          <w:spacing w:val="0"/>
          <w:position w:val="0"/>
        </w:rPr>
        <w:t xml:space="preserve"> </w:t>
      </w:r>
      <w:proofErr w:type="spellStart"/>
      <w:r w:rsidR="006E2A46" w:rsidRPr="00811E8D">
        <w:rPr>
          <w:rFonts w:ascii="Arial" w:hAnsi="Arial" w:cs="Arial"/>
          <w:spacing w:val="0"/>
          <w:position w:val="0"/>
        </w:rPr>
        <w:t>músculo-esqueléticas</w:t>
      </w:r>
      <w:proofErr w:type="spellEnd"/>
      <w:r w:rsidR="00787A66" w:rsidRPr="00811E8D">
        <w:rPr>
          <w:rFonts w:ascii="Arial" w:hAnsi="Arial" w:cs="Arial"/>
          <w:spacing w:val="0"/>
          <w:position w:val="0"/>
        </w:rPr>
        <w:t>, causad</w:t>
      </w:r>
      <w:r w:rsidR="00A90103" w:rsidRPr="00811E8D">
        <w:rPr>
          <w:rFonts w:ascii="Arial" w:hAnsi="Arial" w:cs="Arial"/>
          <w:spacing w:val="0"/>
          <w:position w:val="0"/>
        </w:rPr>
        <w:t>o</w:t>
      </w:r>
      <w:r w:rsidR="00787A66" w:rsidRPr="00811E8D">
        <w:rPr>
          <w:rFonts w:ascii="Arial" w:hAnsi="Arial" w:cs="Arial"/>
          <w:spacing w:val="0"/>
          <w:position w:val="0"/>
        </w:rPr>
        <w:t>s por processo crônico durante o trabalho.</w:t>
      </w:r>
      <w:r w:rsidR="00811E8D" w:rsidRPr="00811E8D">
        <w:rPr>
          <w:rFonts w:ascii="Arial" w:hAnsi="Arial" w:cs="Arial"/>
          <w:spacing w:val="0"/>
          <w:position w:val="0"/>
        </w:rPr>
        <w:t xml:space="preserve"> Este estudo objetivou c</w:t>
      </w:r>
      <w:r w:rsidR="00787A66" w:rsidRPr="00811E8D">
        <w:rPr>
          <w:rFonts w:ascii="Arial" w:hAnsi="Arial" w:cs="Arial"/>
          <w:spacing w:val="0"/>
          <w:position w:val="0"/>
        </w:rPr>
        <w:t xml:space="preserve">onhecer </w:t>
      </w:r>
      <w:r w:rsidR="00A90103" w:rsidRPr="00811E8D">
        <w:rPr>
          <w:rFonts w:ascii="Arial" w:hAnsi="Arial" w:cs="Arial"/>
          <w:spacing w:val="0"/>
          <w:position w:val="0"/>
        </w:rPr>
        <w:t xml:space="preserve">o cenário atual </w:t>
      </w:r>
      <w:r w:rsidR="000913AB" w:rsidRPr="00811E8D">
        <w:rPr>
          <w:rFonts w:ascii="Arial" w:hAnsi="Arial" w:cs="Arial"/>
          <w:spacing w:val="0"/>
          <w:position w:val="0"/>
        </w:rPr>
        <w:t>das</w:t>
      </w:r>
      <w:r w:rsidR="00787A66" w:rsidRPr="00811E8D">
        <w:rPr>
          <w:rFonts w:ascii="Arial" w:hAnsi="Arial" w:cs="Arial"/>
          <w:spacing w:val="0"/>
          <w:position w:val="0"/>
        </w:rPr>
        <w:t xml:space="preserve"> </w:t>
      </w:r>
      <w:r w:rsidR="000913AB" w:rsidRPr="00811E8D">
        <w:rPr>
          <w:rFonts w:ascii="Arial" w:hAnsi="Arial" w:cs="Arial"/>
          <w:spacing w:val="0"/>
          <w:position w:val="0"/>
        </w:rPr>
        <w:t xml:space="preserve">doenças </w:t>
      </w:r>
      <w:r w:rsidR="00AB5A95" w:rsidRPr="00811E8D">
        <w:rPr>
          <w:rFonts w:ascii="Arial" w:hAnsi="Arial" w:cs="Arial"/>
          <w:spacing w:val="0"/>
          <w:position w:val="0"/>
        </w:rPr>
        <w:t>do trabalho</w:t>
      </w:r>
      <w:r w:rsidR="000913AB" w:rsidRPr="00811E8D">
        <w:rPr>
          <w:rFonts w:ascii="Arial" w:hAnsi="Arial" w:cs="Arial"/>
          <w:spacing w:val="0"/>
          <w:position w:val="0"/>
        </w:rPr>
        <w:t xml:space="preserve"> e </w:t>
      </w:r>
      <w:r w:rsidR="00787A66" w:rsidRPr="00811E8D">
        <w:rPr>
          <w:rFonts w:ascii="Arial" w:hAnsi="Arial" w:cs="Arial"/>
          <w:spacing w:val="0"/>
          <w:position w:val="0"/>
        </w:rPr>
        <w:t xml:space="preserve">DORT </w:t>
      </w:r>
      <w:r w:rsidR="00A90103" w:rsidRPr="00811E8D">
        <w:rPr>
          <w:rFonts w:ascii="Arial" w:hAnsi="Arial" w:cs="Arial"/>
          <w:spacing w:val="0"/>
          <w:position w:val="0"/>
        </w:rPr>
        <w:t xml:space="preserve">no Estado de São Paulo e seus </w:t>
      </w:r>
      <w:r w:rsidR="00444F47" w:rsidRPr="00811E8D">
        <w:rPr>
          <w:rFonts w:ascii="Arial" w:hAnsi="Arial" w:cs="Arial"/>
          <w:spacing w:val="0"/>
          <w:position w:val="0"/>
        </w:rPr>
        <w:t>municípios</w:t>
      </w:r>
      <w:r w:rsidR="00A90103" w:rsidRPr="00811E8D">
        <w:rPr>
          <w:rFonts w:ascii="Arial" w:hAnsi="Arial" w:cs="Arial"/>
          <w:spacing w:val="0"/>
          <w:position w:val="0"/>
        </w:rPr>
        <w:t xml:space="preserve">, com ênfase </w:t>
      </w:r>
      <w:r w:rsidR="0003388C" w:rsidRPr="00811E8D">
        <w:rPr>
          <w:rFonts w:ascii="Arial" w:hAnsi="Arial" w:cs="Arial"/>
          <w:spacing w:val="0"/>
          <w:position w:val="0"/>
        </w:rPr>
        <w:t>n</w:t>
      </w:r>
      <w:r w:rsidR="00A90103" w:rsidRPr="00811E8D">
        <w:rPr>
          <w:rFonts w:ascii="Arial" w:hAnsi="Arial" w:cs="Arial"/>
          <w:spacing w:val="0"/>
          <w:position w:val="0"/>
        </w:rPr>
        <w:t xml:space="preserve">as </w:t>
      </w:r>
      <w:r w:rsidR="0003388C" w:rsidRPr="00811E8D">
        <w:rPr>
          <w:rFonts w:ascii="Arial" w:hAnsi="Arial" w:cs="Arial"/>
          <w:spacing w:val="0"/>
          <w:position w:val="0"/>
        </w:rPr>
        <w:t>grandes cidades</w:t>
      </w:r>
      <w:r w:rsidR="00787A66" w:rsidRPr="00811E8D">
        <w:rPr>
          <w:rFonts w:ascii="Arial" w:hAnsi="Arial" w:cs="Arial"/>
          <w:spacing w:val="0"/>
          <w:position w:val="0"/>
        </w:rPr>
        <w:t>.</w:t>
      </w:r>
      <w:r w:rsidR="00811E8D" w:rsidRPr="00811E8D">
        <w:rPr>
          <w:rFonts w:ascii="Arial" w:hAnsi="Arial" w:cs="Arial"/>
          <w:spacing w:val="0"/>
          <w:position w:val="0"/>
        </w:rPr>
        <w:t xml:space="preserve"> Para tanto, </w:t>
      </w:r>
      <w:r w:rsidR="000913AB" w:rsidRPr="00811E8D">
        <w:rPr>
          <w:rFonts w:ascii="Arial" w:hAnsi="Arial" w:cs="Arial"/>
          <w:spacing w:val="0"/>
          <w:position w:val="0"/>
        </w:rPr>
        <w:t>foram realizados levantamentos</w:t>
      </w:r>
      <w:r w:rsidR="009807DF" w:rsidRPr="00811E8D">
        <w:rPr>
          <w:rFonts w:ascii="Arial" w:hAnsi="Arial" w:cs="Arial"/>
          <w:spacing w:val="0"/>
          <w:position w:val="0"/>
        </w:rPr>
        <w:t xml:space="preserve"> e análises estatísticas </w:t>
      </w:r>
      <w:r w:rsidR="00787A66" w:rsidRPr="00811E8D">
        <w:rPr>
          <w:rFonts w:ascii="Arial" w:hAnsi="Arial" w:cs="Arial"/>
          <w:spacing w:val="0"/>
          <w:position w:val="0"/>
        </w:rPr>
        <w:t xml:space="preserve">utilizando </w:t>
      </w:r>
      <w:r w:rsidR="00A90103" w:rsidRPr="00811E8D">
        <w:rPr>
          <w:rFonts w:ascii="Arial" w:hAnsi="Arial" w:cs="Arial"/>
          <w:spacing w:val="0"/>
          <w:position w:val="0"/>
        </w:rPr>
        <w:t>as</w:t>
      </w:r>
      <w:r w:rsidR="00787A66" w:rsidRPr="00811E8D">
        <w:rPr>
          <w:rFonts w:ascii="Arial" w:hAnsi="Arial" w:cs="Arial"/>
          <w:spacing w:val="0"/>
          <w:position w:val="0"/>
        </w:rPr>
        <w:t xml:space="preserve"> principais bases de dados</w:t>
      </w:r>
      <w:r w:rsidR="00A90103" w:rsidRPr="00811E8D">
        <w:rPr>
          <w:rFonts w:ascii="Arial" w:hAnsi="Arial" w:cs="Arial"/>
          <w:spacing w:val="0"/>
          <w:position w:val="0"/>
        </w:rPr>
        <w:t xml:space="preserve"> </w:t>
      </w:r>
      <w:r w:rsidR="0003388C" w:rsidRPr="00811E8D">
        <w:rPr>
          <w:rFonts w:ascii="Arial" w:hAnsi="Arial" w:cs="Arial"/>
          <w:spacing w:val="0"/>
          <w:position w:val="0"/>
        </w:rPr>
        <w:t>d</w:t>
      </w:r>
      <w:r w:rsidR="00A90103" w:rsidRPr="00811E8D">
        <w:rPr>
          <w:rFonts w:ascii="Arial" w:hAnsi="Arial" w:cs="Arial"/>
          <w:spacing w:val="0"/>
          <w:position w:val="0"/>
        </w:rPr>
        <w:t xml:space="preserve">o </w:t>
      </w:r>
      <w:r w:rsidR="00AB5A95" w:rsidRPr="00811E8D">
        <w:rPr>
          <w:rFonts w:ascii="Arial" w:hAnsi="Arial" w:cs="Arial"/>
          <w:spacing w:val="0"/>
          <w:position w:val="0"/>
        </w:rPr>
        <w:t>país</w:t>
      </w:r>
      <w:r w:rsidR="000913AB" w:rsidRPr="00811E8D">
        <w:rPr>
          <w:rFonts w:ascii="Arial" w:hAnsi="Arial" w:cs="Arial"/>
          <w:spacing w:val="0"/>
          <w:position w:val="0"/>
        </w:rPr>
        <w:t>,</w:t>
      </w:r>
      <w:r w:rsidR="00A90103" w:rsidRPr="00811E8D">
        <w:rPr>
          <w:rFonts w:ascii="Arial" w:hAnsi="Arial" w:cs="Arial"/>
          <w:spacing w:val="0"/>
          <w:position w:val="0"/>
        </w:rPr>
        <w:t xml:space="preserve"> no período de 2002 a 2018</w:t>
      </w:r>
      <w:r w:rsidR="00787A66" w:rsidRPr="00811E8D">
        <w:rPr>
          <w:rFonts w:ascii="Arial" w:hAnsi="Arial" w:cs="Arial"/>
          <w:spacing w:val="0"/>
          <w:position w:val="0"/>
        </w:rPr>
        <w:t>.</w:t>
      </w:r>
      <w:r w:rsidR="00811E8D" w:rsidRPr="00811E8D">
        <w:rPr>
          <w:rFonts w:ascii="Arial" w:hAnsi="Arial" w:cs="Arial"/>
          <w:spacing w:val="0"/>
          <w:position w:val="0"/>
        </w:rPr>
        <w:t xml:space="preserve"> Verificou-se que o</w:t>
      </w:r>
      <w:r w:rsidR="009807DF" w:rsidRPr="00811E8D">
        <w:rPr>
          <w:rFonts w:ascii="Arial" w:hAnsi="Arial" w:cs="Arial"/>
          <w:spacing w:val="0"/>
          <w:position w:val="0"/>
        </w:rPr>
        <w:t xml:space="preserve"> número de registros de doenças ocupacionais no Estado de São Paulo está em declínio</w:t>
      </w:r>
      <w:r w:rsidR="0003388C" w:rsidRPr="00811E8D">
        <w:rPr>
          <w:rFonts w:ascii="Arial" w:hAnsi="Arial" w:cs="Arial"/>
          <w:spacing w:val="0"/>
          <w:position w:val="0"/>
        </w:rPr>
        <w:t xml:space="preserve"> anual</w:t>
      </w:r>
      <w:r w:rsidR="009807DF" w:rsidRPr="00811E8D">
        <w:rPr>
          <w:rFonts w:ascii="Arial" w:hAnsi="Arial" w:cs="Arial"/>
          <w:spacing w:val="0"/>
          <w:position w:val="0"/>
        </w:rPr>
        <w:t xml:space="preserve">. Porém, a proporção de DORT em relação às outras doenças ainda é elevada. </w:t>
      </w:r>
      <w:r w:rsidR="00571DE5" w:rsidRPr="00811E8D">
        <w:rPr>
          <w:rFonts w:ascii="Arial" w:hAnsi="Arial" w:cs="Arial"/>
          <w:spacing w:val="0"/>
          <w:position w:val="0"/>
        </w:rPr>
        <w:t>O seguimento econômico</w:t>
      </w:r>
      <w:r w:rsidR="009807DF" w:rsidRPr="00811E8D">
        <w:rPr>
          <w:rFonts w:ascii="Arial" w:hAnsi="Arial" w:cs="Arial"/>
          <w:spacing w:val="0"/>
          <w:position w:val="0"/>
        </w:rPr>
        <w:t xml:space="preserve"> mai</w:t>
      </w:r>
      <w:r w:rsidR="0003388C" w:rsidRPr="00811E8D">
        <w:rPr>
          <w:rFonts w:ascii="Arial" w:hAnsi="Arial" w:cs="Arial"/>
          <w:spacing w:val="0"/>
          <w:position w:val="0"/>
        </w:rPr>
        <w:t>s afetad</w:t>
      </w:r>
      <w:r w:rsidR="00571DE5" w:rsidRPr="00811E8D">
        <w:rPr>
          <w:rFonts w:ascii="Arial" w:hAnsi="Arial" w:cs="Arial"/>
          <w:spacing w:val="0"/>
          <w:position w:val="0"/>
        </w:rPr>
        <w:t>o</w:t>
      </w:r>
      <w:r w:rsidR="009807DF" w:rsidRPr="00811E8D">
        <w:rPr>
          <w:rFonts w:ascii="Arial" w:hAnsi="Arial" w:cs="Arial"/>
          <w:spacing w:val="0"/>
          <w:position w:val="0"/>
        </w:rPr>
        <w:t xml:space="preserve"> </w:t>
      </w:r>
      <w:r w:rsidR="00571DE5" w:rsidRPr="00811E8D">
        <w:rPr>
          <w:rFonts w:ascii="Arial" w:hAnsi="Arial" w:cs="Arial"/>
          <w:spacing w:val="0"/>
          <w:position w:val="0"/>
        </w:rPr>
        <w:t>é o das instituições financeiras</w:t>
      </w:r>
      <w:r w:rsidR="0003388C" w:rsidRPr="00811E8D">
        <w:rPr>
          <w:rFonts w:ascii="Arial" w:hAnsi="Arial" w:cs="Arial"/>
          <w:spacing w:val="0"/>
          <w:position w:val="0"/>
        </w:rPr>
        <w:t xml:space="preserve"> </w:t>
      </w:r>
      <w:r w:rsidR="00571DE5" w:rsidRPr="00811E8D">
        <w:rPr>
          <w:rFonts w:ascii="Arial" w:hAnsi="Arial" w:cs="Arial"/>
          <w:spacing w:val="0"/>
          <w:position w:val="0"/>
        </w:rPr>
        <w:t>(15,13%), enquanto que</w:t>
      </w:r>
      <w:r w:rsidR="009807DF" w:rsidRPr="00811E8D">
        <w:rPr>
          <w:rFonts w:ascii="Arial" w:hAnsi="Arial" w:cs="Arial"/>
          <w:spacing w:val="0"/>
          <w:position w:val="0"/>
        </w:rPr>
        <w:t xml:space="preserve"> os principais distúrbios estão relacionados </w:t>
      </w:r>
      <w:r w:rsidR="00571DE5" w:rsidRPr="00811E8D">
        <w:rPr>
          <w:rFonts w:ascii="Arial" w:hAnsi="Arial" w:cs="Arial"/>
          <w:spacing w:val="0"/>
          <w:position w:val="0"/>
        </w:rPr>
        <w:t>com</w:t>
      </w:r>
      <w:r w:rsidR="009807DF" w:rsidRPr="00811E8D">
        <w:rPr>
          <w:rFonts w:ascii="Arial" w:hAnsi="Arial" w:cs="Arial"/>
          <w:spacing w:val="0"/>
          <w:position w:val="0"/>
        </w:rPr>
        <w:t xml:space="preserve"> lesões do ombro</w:t>
      </w:r>
      <w:r w:rsidR="00571DE5" w:rsidRPr="00811E8D">
        <w:rPr>
          <w:rFonts w:ascii="Arial" w:hAnsi="Arial" w:cs="Arial"/>
          <w:spacing w:val="0"/>
          <w:position w:val="0"/>
        </w:rPr>
        <w:t xml:space="preserve"> (33,33%)</w:t>
      </w:r>
      <w:r w:rsidR="009807DF" w:rsidRPr="00811E8D">
        <w:rPr>
          <w:rFonts w:ascii="Arial" w:hAnsi="Arial" w:cs="Arial"/>
          <w:spacing w:val="0"/>
          <w:position w:val="0"/>
        </w:rPr>
        <w:t>. Também foi observada uma correlação estatística</w:t>
      </w:r>
      <w:r w:rsidR="0003388C" w:rsidRPr="00811E8D">
        <w:rPr>
          <w:rFonts w:ascii="Arial" w:hAnsi="Arial" w:cs="Arial"/>
          <w:spacing w:val="0"/>
          <w:position w:val="0"/>
        </w:rPr>
        <w:t xml:space="preserve"> (</w:t>
      </w:r>
      <w:r w:rsidR="0003388C" w:rsidRPr="00811E8D">
        <w:rPr>
          <w:rFonts w:ascii="Arial" w:hAnsi="Arial" w:cs="Arial"/>
          <w:spacing w:val="0"/>
          <w:position w:val="0"/>
        </w:rPr>
        <w:sym w:font="Symbol" w:char="F072"/>
      </w:r>
      <w:r w:rsidR="0003388C" w:rsidRPr="00811E8D">
        <w:rPr>
          <w:rFonts w:ascii="Arial" w:hAnsi="Arial" w:cs="Arial"/>
          <w:spacing w:val="0"/>
          <w:position w:val="0"/>
        </w:rPr>
        <w:t xml:space="preserve">&lt;-0,70) do </w:t>
      </w:r>
      <w:r w:rsidR="009807DF" w:rsidRPr="00811E8D">
        <w:rPr>
          <w:rFonts w:ascii="Arial" w:hAnsi="Arial" w:cs="Arial"/>
          <w:spacing w:val="0"/>
          <w:position w:val="0"/>
        </w:rPr>
        <w:t>PIB e IDHM</w:t>
      </w:r>
      <w:r w:rsidR="0003388C" w:rsidRPr="00811E8D">
        <w:rPr>
          <w:rFonts w:ascii="Arial" w:hAnsi="Arial" w:cs="Arial"/>
          <w:spacing w:val="0"/>
          <w:position w:val="0"/>
        </w:rPr>
        <w:t xml:space="preserve"> com </w:t>
      </w:r>
      <w:r w:rsidR="009807DF" w:rsidRPr="00811E8D">
        <w:rPr>
          <w:rFonts w:ascii="Arial" w:hAnsi="Arial" w:cs="Arial"/>
          <w:spacing w:val="0"/>
          <w:position w:val="0"/>
        </w:rPr>
        <w:t>os registros de doenças</w:t>
      </w:r>
      <w:r w:rsidR="00C10F33" w:rsidRPr="00811E8D">
        <w:rPr>
          <w:rFonts w:ascii="Arial" w:hAnsi="Arial" w:cs="Arial"/>
          <w:spacing w:val="0"/>
          <w:position w:val="0"/>
        </w:rPr>
        <w:t xml:space="preserve"> laborais</w:t>
      </w:r>
      <w:r w:rsidR="0003388C" w:rsidRPr="00811E8D">
        <w:rPr>
          <w:rFonts w:ascii="Arial" w:hAnsi="Arial" w:cs="Arial"/>
          <w:spacing w:val="0"/>
          <w:position w:val="0"/>
        </w:rPr>
        <w:t xml:space="preserve">, revelando a importância de políticas públicas aliadas </w:t>
      </w:r>
      <w:r w:rsidR="00896019" w:rsidRPr="00811E8D">
        <w:rPr>
          <w:rFonts w:ascii="Arial" w:hAnsi="Arial" w:cs="Arial"/>
          <w:spacing w:val="0"/>
          <w:position w:val="0"/>
        </w:rPr>
        <w:t>à</w:t>
      </w:r>
      <w:r w:rsidR="0003388C" w:rsidRPr="00811E8D">
        <w:rPr>
          <w:rFonts w:ascii="Arial" w:hAnsi="Arial" w:cs="Arial"/>
          <w:spacing w:val="0"/>
          <w:position w:val="0"/>
        </w:rPr>
        <w:t xml:space="preserve"> compromissos sociais</w:t>
      </w:r>
      <w:r w:rsidR="00896019" w:rsidRPr="00811E8D">
        <w:rPr>
          <w:rFonts w:ascii="Arial" w:hAnsi="Arial" w:cs="Arial"/>
          <w:spacing w:val="0"/>
          <w:position w:val="0"/>
        </w:rPr>
        <w:t>,</w:t>
      </w:r>
      <w:r w:rsidR="0003388C" w:rsidRPr="00811E8D">
        <w:rPr>
          <w:rFonts w:ascii="Arial" w:hAnsi="Arial" w:cs="Arial"/>
          <w:spacing w:val="0"/>
          <w:position w:val="0"/>
        </w:rPr>
        <w:t xml:space="preserve"> em busca de melhorias na qualidade de vida dos trabalhadores.</w:t>
      </w:r>
      <w:r w:rsidR="00811E8D" w:rsidRPr="00811E8D">
        <w:rPr>
          <w:rFonts w:ascii="Arial" w:hAnsi="Arial" w:cs="Arial"/>
          <w:spacing w:val="0"/>
          <w:position w:val="0"/>
        </w:rPr>
        <w:t xml:space="preserve"> Por fim, conclui-se que </w:t>
      </w:r>
      <w:r w:rsidR="0003388C" w:rsidRPr="00811E8D">
        <w:rPr>
          <w:rFonts w:ascii="Arial" w:hAnsi="Arial" w:cs="Arial"/>
          <w:spacing w:val="0"/>
          <w:position w:val="0"/>
        </w:rPr>
        <w:t xml:space="preserve">os fatores ergonômicos e a organização do trabalho são </w:t>
      </w:r>
      <w:r w:rsidR="00C10F33" w:rsidRPr="00811E8D">
        <w:rPr>
          <w:rFonts w:ascii="Arial" w:hAnsi="Arial" w:cs="Arial"/>
          <w:spacing w:val="0"/>
          <w:position w:val="0"/>
        </w:rPr>
        <w:t xml:space="preserve">muito </w:t>
      </w:r>
      <w:r w:rsidR="0003388C" w:rsidRPr="00811E8D">
        <w:rPr>
          <w:rFonts w:ascii="Arial" w:hAnsi="Arial" w:cs="Arial"/>
          <w:spacing w:val="0"/>
          <w:position w:val="0"/>
        </w:rPr>
        <w:t xml:space="preserve">importantes para minimização </w:t>
      </w:r>
      <w:r w:rsidR="00C10F33" w:rsidRPr="00811E8D">
        <w:rPr>
          <w:rFonts w:ascii="Arial" w:hAnsi="Arial" w:cs="Arial"/>
          <w:spacing w:val="0"/>
          <w:position w:val="0"/>
        </w:rPr>
        <w:t>de</w:t>
      </w:r>
      <w:r w:rsidR="0003388C" w:rsidRPr="00811E8D">
        <w:rPr>
          <w:rFonts w:ascii="Arial" w:hAnsi="Arial" w:cs="Arial"/>
          <w:spacing w:val="0"/>
          <w:position w:val="0"/>
        </w:rPr>
        <w:t xml:space="preserve"> DORT, assim como os investimentos em programas de promoção da saúde e prevenção de outras doenças do trabalho.</w:t>
      </w:r>
    </w:p>
    <w:p w14:paraId="05904EA6" w14:textId="2EE3ABE6" w:rsidR="00E604CF" w:rsidRPr="00811E8D" w:rsidRDefault="008B4F5C" w:rsidP="00811E8D">
      <w:pPr>
        <w:spacing w:line="360" w:lineRule="auto"/>
        <w:contextualSpacing/>
        <w:jc w:val="both"/>
        <w:rPr>
          <w:rFonts w:ascii="Arial" w:hAnsi="Arial" w:cs="Arial"/>
          <w:spacing w:val="0"/>
          <w:position w:val="0"/>
        </w:rPr>
      </w:pPr>
      <w:r w:rsidRPr="00811E8D">
        <w:rPr>
          <w:rFonts w:ascii="Arial" w:hAnsi="Arial" w:cs="Arial"/>
          <w:b/>
          <w:bCs/>
          <w:spacing w:val="0"/>
          <w:position w:val="0"/>
        </w:rPr>
        <w:t>Palavras-chave:</w:t>
      </w:r>
      <w:r w:rsidRPr="00811E8D">
        <w:rPr>
          <w:rFonts w:ascii="Arial" w:hAnsi="Arial" w:cs="Arial"/>
          <w:spacing w:val="0"/>
          <w:position w:val="0"/>
        </w:rPr>
        <w:t xml:space="preserve"> </w:t>
      </w:r>
      <w:r w:rsidR="00811E8D" w:rsidRPr="00811E8D">
        <w:rPr>
          <w:rFonts w:ascii="Arial" w:hAnsi="Arial" w:cs="Arial"/>
          <w:spacing w:val="0"/>
          <w:position w:val="0"/>
        </w:rPr>
        <w:t>R</w:t>
      </w:r>
      <w:r w:rsidR="00787A66" w:rsidRPr="00811E8D">
        <w:rPr>
          <w:rFonts w:ascii="Arial" w:hAnsi="Arial" w:cs="Arial"/>
          <w:spacing w:val="0"/>
          <w:position w:val="0"/>
        </w:rPr>
        <w:t>isco</w:t>
      </w:r>
      <w:r w:rsidR="00A1342E" w:rsidRPr="00811E8D">
        <w:rPr>
          <w:rFonts w:ascii="Arial" w:hAnsi="Arial" w:cs="Arial"/>
          <w:spacing w:val="0"/>
          <w:position w:val="0"/>
        </w:rPr>
        <w:t xml:space="preserve"> ocupaciona</w:t>
      </w:r>
      <w:r w:rsidR="00A65C98" w:rsidRPr="00811E8D">
        <w:rPr>
          <w:rFonts w:ascii="Arial" w:hAnsi="Arial" w:cs="Arial"/>
          <w:spacing w:val="0"/>
          <w:position w:val="0"/>
        </w:rPr>
        <w:t>l</w:t>
      </w:r>
      <w:r w:rsidRPr="00811E8D">
        <w:rPr>
          <w:rFonts w:ascii="Arial" w:hAnsi="Arial" w:cs="Arial"/>
          <w:spacing w:val="0"/>
          <w:position w:val="0"/>
        </w:rPr>
        <w:t xml:space="preserve">; </w:t>
      </w:r>
      <w:r w:rsidR="00811E8D" w:rsidRPr="00811E8D">
        <w:rPr>
          <w:rFonts w:ascii="Arial" w:hAnsi="Arial" w:cs="Arial"/>
          <w:spacing w:val="0"/>
          <w:position w:val="0"/>
        </w:rPr>
        <w:t>A</w:t>
      </w:r>
      <w:r w:rsidR="00A1342E" w:rsidRPr="00811E8D">
        <w:rPr>
          <w:rFonts w:ascii="Arial" w:hAnsi="Arial" w:cs="Arial"/>
          <w:spacing w:val="0"/>
          <w:position w:val="0"/>
        </w:rPr>
        <w:t>cidente do trabalho</w:t>
      </w:r>
      <w:r w:rsidRPr="00811E8D">
        <w:rPr>
          <w:rFonts w:ascii="Arial" w:hAnsi="Arial" w:cs="Arial"/>
          <w:spacing w:val="0"/>
          <w:position w:val="0"/>
        </w:rPr>
        <w:t>;</w:t>
      </w:r>
      <w:r w:rsidR="00A65C98" w:rsidRPr="00811E8D">
        <w:rPr>
          <w:rFonts w:ascii="Arial" w:hAnsi="Arial" w:cs="Arial"/>
          <w:spacing w:val="0"/>
          <w:position w:val="0"/>
        </w:rPr>
        <w:t xml:space="preserve"> </w:t>
      </w:r>
      <w:r w:rsidR="00896019" w:rsidRPr="00811E8D">
        <w:rPr>
          <w:rFonts w:ascii="Arial" w:hAnsi="Arial" w:cs="Arial"/>
          <w:spacing w:val="0"/>
          <w:position w:val="0"/>
        </w:rPr>
        <w:t xml:space="preserve">DORT; </w:t>
      </w:r>
      <w:r w:rsidR="00811E8D" w:rsidRPr="00811E8D">
        <w:rPr>
          <w:rFonts w:ascii="Arial" w:hAnsi="Arial" w:cs="Arial"/>
          <w:spacing w:val="0"/>
          <w:position w:val="0"/>
        </w:rPr>
        <w:t>S</w:t>
      </w:r>
      <w:r w:rsidR="00A65C98" w:rsidRPr="00811E8D">
        <w:rPr>
          <w:rFonts w:ascii="Arial" w:hAnsi="Arial" w:cs="Arial"/>
          <w:spacing w:val="0"/>
          <w:position w:val="0"/>
        </w:rPr>
        <w:t xml:space="preserve">aúde </w:t>
      </w:r>
      <w:r w:rsidR="00BB1D45" w:rsidRPr="00811E8D">
        <w:rPr>
          <w:rFonts w:ascii="Arial" w:hAnsi="Arial" w:cs="Arial"/>
          <w:spacing w:val="0"/>
          <w:position w:val="0"/>
        </w:rPr>
        <w:t>coletiva</w:t>
      </w:r>
      <w:r w:rsidR="00A65C98" w:rsidRPr="00811E8D">
        <w:rPr>
          <w:rFonts w:ascii="Arial" w:hAnsi="Arial" w:cs="Arial"/>
          <w:spacing w:val="0"/>
          <w:position w:val="0"/>
        </w:rPr>
        <w:t>.</w:t>
      </w:r>
    </w:p>
    <w:p w14:paraId="5167F4CF" w14:textId="77777777" w:rsidR="009A3D3A" w:rsidRPr="00F24062" w:rsidRDefault="009A3D3A" w:rsidP="00811E8D">
      <w:pPr>
        <w:spacing w:line="360" w:lineRule="auto"/>
        <w:contextualSpacing/>
        <w:jc w:val="both"/>
        <w:rPr>
          <w:rFonts w:ascii="Arial" w:hAnsi="Arial" w:cs="Arial"/>
          <w:spacing w:val="0"/>
          <w:position w:val="0"/>
        </w:rPr>
      </w:pPr>
    </w:p>
    <w:p w14:paraId="79851ED3" w14:textId="5758F8A8" w:rsidR="009A3D3A" w:rsidRPr="00811E8D" w:rsidRDefault="009A3D3A" w:rsidP="00811E8D">
      <w:pPr>
        <w:spacing w:line="360" w:lineRule="auto"/>
        <w:contextualSpacing/>
        <w:jc w:val="both"/>
        <w:rPr>
          <w:rFonts w:ascii="Arial" w:hAnsi="Arial" w:cs="Arial"/>
          <w:b/>
          <w:bCs/>
          <w:spacing w:val="0"/>
          <w:position w:val="0"/>
          <w:lang w:val="en-US"/>
        </w:rPr>
      </w:pPr>
      <w:r w:rsidRPr="00811E8D">
        <w:rPr>
          <w:rFonts w:ascii="Arial" w:hAnsi="Arial" w:cs="Arial"/>
          <w:b/>
          <w:spacing w:val="0"/>
          <w:position w:val="0"/>
          <w:lang w:val="en-US"/>
        </w:rPr>
        <w:t>Abstract</w:t>
      </w:r>
      <w:r w:rsidR="00811E8D" w:rsidRPr="00811E8D">
        <w:rPr>
          <w:rFonts w:ascii="Arial" w:hAnsi="Arial" w:cs="Arial"/>
          <w:b/>
          <w:spacing w:val="0"/>
          <w:position w:val="0"/>
          <w:lang w:val="en-US"/>
        </w:rPr>
        <w:t xml:space="preserve">: </w:t>
      </w:r>
      <w:r w:rsidR="00811E8D" w:rsidRPr="00811E8D">
        <w:rPr>
          <w:rFonts w:ascii="Arial" w:hAnsi="Arial" w:cs="Arial"/>
          <w:bCs/>
          <w:spacing w:val="0"/>
          <w:position w:val="0"/>
          <w:lang w:val="en-US"/>
        </w:rPr>
        <w:t>W</w:t>
      </w:r>
      <w:r w:rsidR="004326D9" w:rsidRPr="00811E8D">
        <w:rPr>
          <w:rFonts w:ascii="Arial" w:hAnsi="Arial" w:cs="Arial"/>
          <w:spacing w:val="0"/>
          <w:position w:val="0"/>
          <w:lang w:val="en-US"/>
        </w:rPr>
        <w:t xml:space="preserve">ork-related Musculoskeletal Diseases (WMSD) are considered occupational diseases with disorders in the musculoskeletal structures, caused by a chronic process during work. </w:t>
      </w:r>
      <w:r w:rsidR="00811E8D" w:rsidRPr="00811E8D">
        <w:rPr>
          <w:rFonts w:ascii="Arial" w:hAnsi="Arial" w:cs="Arial"/>
          <w:spacing w:val="0"/>
          <w:position w:val="0"/>
          <w:lang w:val="en-US"/>
        </w:rPr>
        <w:t>This study objective was to</w:t>
      </w:r>
      <w:r w:rsidR="004326D9" w:rsidRPr="00811E8D">
        <w:rPr>
          <w:rFonts w:ascii="Arial" w:hAnsi="Arial" w:cs="Arial"/>
          <w:spacing w:val="0"/>
          <w:position w:val="0"/>
          <w:lang w:val="en-US"/>
        </w:rPr>
        <w:t xml:space="preserve"> understand the current scenario of occupational diseases and WMSD in the State of São Paulo and its municipalities, with an emphasis on large cities. </w:t>
      </w:r>
      <w:r w:rsidR="00811E8D" w:rsidRPr="00811E8D">
        <w:rPr>
          <w:rFonts w:ascii="Arial" w:hAnsi="Arial" w:cs="Arial"/>
          <w:spacing w:val="0"/>
          <w:position w:val="0"/>
          <w:lang w:val="en-US"/>
        </w:rPr>
        <w:t>For that, s</w:t>
      </w:r>
      <w:r w:rsidR="004326D9" w:rsidRPr="00811E8D">
        <w:rPr>
          <w:rFonts w:ascii="Arial" w:hAnsi="Arial" w:cs="Arial"/>
          <w:spacing w:val="0"/>
          <w:position w:val="0"/>
          <w:lang w:val="en-US"/>
        </w:rPr>
        <w:t xml:space="preserve">urveys and statistical analyzes were carried out using the main databases </w:t>
      </w:r>
      <w:r w:rsidR="00057832" w:rsidRPr="00811E8D">
        <w:rPr>
          <w:rFonts w:ascii="Arial" w:hAnsi="Arial" w:cs="Arial"/>
          <w:spacing w:val="0"/>
          <w:position w:val="0"/>
          <w:lang w:val="en-US"/>
        </w:rPr>
        <w:t>of the</w:t>
      </w:r>
      <w:r w:rsidR="004326D9" w:rsidRPr="00811E8D">
        <w:rPr>
          <w:rFonts w:ascii="Arial" w:hAnsi="Arial" w:cs="Arial"/>
          <w:spacing w:val="0"/>
          <w:position w:val="0"/>
          <w:lang w:val="en-US"/>
        </w:rPr>
        <w:t xml:space="preserve"> </w:t>
      </w:r>
      <w:r w:rsidR="00057832" w:rsidRPr="00811E8D">
        <w:rPr>
          <w:rFonts w:ascii="Arial" w:hAnsi="Arial" w:cs="Arial"/>
          <w:spacing w:val="0"/>
          <w:position w:val="0"/>
          <w:lang w:val="en-US"/>
        </w:rPr>
        <w:t>Brazilian Government</w:t>
      </w:r>
      <w:r w:rsidR="004326D9" w:rsidRPr="00811E8D">
        <w:rPr>
          <w:rFonts w:ascii="Arial" w:hAnsi="Arial" w:cs="Arial"/>
          <w:spacing w:val="0"/>
          <w:position w:val="0"/>
          <w:lang w:val="en-US"/>
        </w:rPr>
        <w:t>, from 2002 to 2018.</w:t>
      </w:r>
      <w:r w:rsidR="00811E8D" w:rsidRPr="00811E8D">
        <w:rPr>
          <w:rFonts w:ascii="Arial" w:hAnsi="Arial" w:cs="Arial"/>
          <w:spacing w:val="0"/>
          <w:position w:val="0"/>
          <w:lang w:val="en-US"/>
        </w:rPr>
        <w:t xml:space="preserve"> The results showed that </w:t>
      </w:r>
      <w:r w:rsidR="004326D9" w:rsidRPr="00811E8D">
        <w:rPr>
          <w:rFonts w:ascii="Arial" w:hAnsi="Arial" w:cs="Arial"/>
          <w:spacing w:val="0"/>
          <w:position w:val="0"/>
          <w:lang w:val="en-US"/>
        </w:rPr>
        <w:t>the number of records of occupational diseases in the State of São Paulo is declining annually. However, the proportion of WMSD in relation to other diseases is still high. The most affected economic segment is the financial institutions (15.13%), while the main disorders are related to shoulder injuries (33.33%). There was also a statistical correlation (</w:t>
      </w:r>
      <w:r w:rsidR="004326D9" w:rsidRPr="00811E8D">
        <w:rPr>
          <w:rFonts w:ascii="Arial" w:hAnsi="Arial" w:cs="Arial"/>
          <w:spacing w:val="0"/>
          <w:position w:val="0"/>
        </w:rPr>
        <w:sym w:font="Symbol" w:char="F072"/>
      </w:r>
      <w:r w:rsidR="004326D9" w:rsidRPr="00811E8D">
        <w:rPr>
          <w:rFonts w:ascii="Arial" w:hAnsi="Arial" w:cs="Arial"/>
          <w:spacing w:val="0"/>
          <w:position w:val="0"/>
          <w:lang w:val="en-US"/>
        </w:rPr>
        <w:t>&lt;-0.70) of GDP and MHDI with the records of occupational diseases, revealing the importance of public policies combined with social commitments for improvements in the quality of life of workers.</w:t>
      </w:r>
      <w:r w:rsidR="00811E8D" w:rsidRPr="00811E8D">
        <w:rPr>
          <w:rFonts w:ascii="Arial" w:hAnsi="Arial" w:cs="Arial"/>
          <w:spacing w:val="0"/>
          <w:position w:val="0"/>
          <w:lang w:val="en-US"/>
        </w:rPr>
        <w:t xml:space="preserve"> Finally, is </w:t>
      </w:r>
      <w:r w:rsidR="00811E8D" w:rsidRPr="00811E8D">
        <w:rPr>
          <w:rFonts w:ascii="Arial" w:hAnsi="Arial" w:cs="Arial"/>
          <w:spacing w:val="0"/>
          <w:position w:val="0"/>
          <w:lang w:val="en-US"/>
        </w:rPr>
        <w:lastRenderedPageBreak/>
        <w:t xml:space="preserve">concluded that the </w:t>
      </w:r>
      <w:r w:rsidR="004326D9" w:rsidRPr="00811E8D">
        <w:rPr>
          <w:rFonts w:ascii="Arial" w:hAnsi="Arial" w:cs="Arial"/>
          <w:spacing w:val="0"/>
          <w:position w:val="0"/>
          <w:lang w:val="en-US"/>
        </w:rPr>
        <w:t>ergonomic factors and work organization are very important for minimizing WMSD, as well as investments in health promotion programs and prevention of other occupational diseases.</w:t>
      </w:r>
    </w:p>
    <w:p w14:paraId="532B3483" w14:textId="01DE77F9" w:rsidR="00444F47" w:rsidRPr="00811E8D" w:rsidRDefault="004326D9" w:rsidP="00811E8D">
      <w:pPr>
        <w:spacing w:line="360" w:lineRule="auto"/>
        <w:contextualSpacing/>
        <w:jc w:val="both"/>
        <w:rPr>
          <w:rFonts w:ascii="Arial" w:hAnsi="Arial" w:cs="Arial"/>
          <w:spacing w:val="0"/>
          <w:position w:val="0"/>
          <w:lang w:val="en-US"/>
        </w:rPr>
      </w:pPr>
      <w:r w:rsidRPr="00811E8D">
        <w:rPr>
          <w:rFonts w:ascii="Arial" w:hAnsi="Arial" w:cs="Arial"/>
          <w:b/>
          <w:bCs/>
          <w:spacing w:val="0"/>
          <w:position w:val="0"/>
          <w:lang w:val="en-US"/>
        </w:rPr>
        <w:t>Keywords:</w:t>
      </w:r>
      <w:r w:rsidRPr="00811E8D">
        <w:rPr>
          <w:rFonts w:ascii="Arial" w:hAnsi="Arial" w:cs="Arial"/>
          <w:spacing w:val="0"/>
          <w:position w:val="0"/>
          <w:lang w:val="en-US"/>
        </w:rPr>
        <w:t xml:space="preserve"> </w:t>
      </w:r>
      <w:r w:rsidR="005C3B36">
        <w:rPr>
          <w:rFonts w:ascii="Arial" w:hAnsi="Arial" w:cs="Arial"/>
          <w:spacing w:val="0"/>
          <w:position w:val="0"/>
          <w:lang w:val="en-US"/>
        </w:rPr>
        <w:t>O</w:t>
      </w:r>
      <w:r w:rsidRPr="00811E8D">
        <w:rPr>
          <w:rFonts w:ascii="Arial" w:hAnsi="Arial" w:cs="Arial"/>
          <w:spacing w:val="0"/>
          <w:position w:val="0"/>
          <w:lang w:val="en-US"/>
        </w:rPr>
        <w:t xml:space="preserve">ccupational risk; </w:t>
      </w:r>
      <w:r w:rsidR="005C3B36">
        <w:rPr>
          <w:rFonts w:ascii="Arial" w:hAnsi="Arial" w:cs="Arial"/>
          <w:spacing w:val="0"/>
          <w:position w:val="0"/>
          <w:lang w:val="en-US"/>
        </w:rPr>
        <w:t>W</w:t>
      </w:r>
      <w:r w:rsidRPr="00811E8D">
        <w:rPr>
          <w:rFonts w:ascii="Arial" w:hAnsi="Arial" w:cs="Arial"/>
          <w:spacing w:val="0"/>
          <w:position w:val="0"/>
          <w:lang w:val="en-US"/>
        </w:rPr>
        <w:t xml:space="preserve">ork accident; </w:t>
      </w:r>
      <w:r w:rsidR="00896019" w:rsidRPr="00811E8D">
        <w:rPr>
          <w:rFonts w:ascii="Arial" w:hAnsi="Arial" w:cs="Arial"/>
          <w:spacing w:val="0"/>
          <w:position w:val="0"/>
          <w:lang w:val="en-US"/>
        </w:rPr>
        <w:t xml:space="preserve">WMSD; </w:t>
      </w:r>
      <w:r w:rsidR="005C3B36">
        <w:rPr>
          <w:rFonts w:ascii="Arial" w:hAnsi="Arial" w:cs="Arial"/>
          <w:spacing w:val="0"/>
          <w:position w:val="0"/>
          <w:lang w:val="en-US"/>
        </w:rPr>
        <w:t>C</w:t>
      </w:r>
      <w:r w:rsidRPr="00811E8D">
        <w:rPr>
          <w:rFonts w:ascii="Arial" w:hAnsi="Arial" w:cs="Arial"/>
          <w:spacing w:val="0"/>
          <w:position w:val="0"/>
          <w:lang w:val="en-US"/>
        </w:rPr>
        <w:t>ollective health.</w:t>
      </w:r>
    </w:p>
    <w:p w14:paraId="7038DF6A" w14:textId="77777777" w:rsidR="00811E8D" w:rsidRPr="00811E8D" w:rsidRDefault="00811E8D" w:rsidP="00811E8D">
      <w:pPr>
        <w:spacing w:line="360" w:lineRule="auto"/>
        <w:contextualSpacing/>
        <w:jc w:val="both"/>
        <w:rPr>
          <w:rFonts w:ascii="Arial" w:hAnsi="Arial" w:cs="Arial"/>
          <w:spacing w:val="0"/>
          <w:position w:val="0"/>
          <w:lang w:val="en-US"/>
        </w:rPr>
      </w:pPr>
    </w:p>
    <w:p w14:paraId="0C25ED61" w14:textId="419F3D4D" w:rsidR="008B4F5C" w:rsidRPr="00811E8D" w:rsidRDefault="00E604CF" w:rsidP="00811E8D">
      <w:pPr>
        <w:spacing w:line="360" w:lineRule="auto"/>
        <w:contextualSpacing/>
        <w:jc w:val="both"/>
        <w:rPr>
          <w:rFonts w:ascii="Arial" w:hAnsi="Arial" w:cs="Arial"/>
          <w:b/>
          <w:spacing w:val="0"/>
          <w:position w:val="0"/>
        </w:rPr>
      </w:pPr>
      <w:r w:rsidRPr="00811E8D">
        <w:rPr>
          <w:rFonts w:ascii="Arial" w:hAnsi="Arial" w:cs="Arial"/>
          <w:b/>
          <w:spacing w:val="0"/>
          <w:position w:val="0"/>
        </w:rPr>
        <w:t>Introdução</w:t>
      </w:r>
    </w:p>
    <w:p w14:paraId="14FF8EC4" w14:textId="77777777" w:rsidR="00AD2E13" w:rsidRPr="00811E8D" w:rsidRDefault="00AD2E13" w:rsidP="00811E8D">
      <w:pPr>
        <w:spacing w:line="360" w:lineRule="auto"/>
        <w:jc w:val="both"/>
        <w:rPr>
          <w:rFonts w:ascii="Arial" w:hAnsi="Arial" w:cs="Arial"/>
          <w:color w:val="FF0000"/>
          <w:spacing w:val="0"/>
          <w:position w:val="0"/>
        </w:rPr>
      </w:pPr>
    </w:p>
    <w:p w14:paraId="2A73271B" w14:textId="78E45304" w:rsidR="00C02154" w:rsidRPr="00811E8D" w:rsidRDefault="00C02154" w:rsidP="008D473A">
      <w:pPr>
        <w:shd w:val="clear" w:color="auto" w:fill="FFFFFF"/>
        <w:spacing w:line="360" w:lineRule="auto"/>
        <w:ind w:firstLine="709"/>
        <w:contextualSpacing/>
        <w:jc w:val="both"/>
        <w:rPr>
          <w:rFonts w:ascii="Arial" w:hAnsi="Arial" w:cs="Arial"/>
          <w:color w:val="000000"/>
          <w:spacing w:val="0"/>
          <w:position w:val="0"/>
        </w:rPr>
      </w:pPr>
      <w:r w:rsidRPr="00811E8D">
        <w:rPr>
          <w:rFonts w:ascii="Arial" w:hAnsi="Arial" w:cs="Arial"/>
          <w:color w:val="000000"/>
          <w:spacing w:val="0"/>
          <w:position w:val="0"/>
        </w:rPr>
        <w:t>Desde o início do século XXI, o mercado de trabalho vem apresentando grandes mudanças. Essas alterações são decorrentes da globalização e reestruturação produtiva, como a descentralização do trabalho industrial, extinção de posições no mercado formal, crescimento do setor de serviços, do desemprego estrutural e da informalidade</w:t>
      </w:r>
      <w:r w:rsidR="00455466">
        <w:rPr>
          <w:rFonts w:ascii="Arial" w:hAnsi="Arial" w:cs="Arial"/>
          <w:color w:val="000000"/>
          <w:spacing w:val="0"/>
          <w:position w:val="0"/>
        </w:rPr>
        <w:t xml:space="preserve"> (ILO, 2002; DRUCK; BORGES, 2002)</w:t>
      </w:r>
      <w:r w:rsidRPr="00811E8D">
        <w:rPr>
          <w:rFonts w:ascii="Arial" w:hAnsi="Arial" w:cs="Arial"/>
          <w:color w:val="000000"/>
          <w:spacing w:val="0"/>
          <w:position w:val="0"/>
        </w:rPr>
        <w:t>. Esse cenário favorece a precarização das condições de trabalho, com impactos na</w:t>
      </w:r>
      <w:r w:rsidR="00465E86" w:rsidRPr="00811E8D">
        <w:rPr>
          <w:rFonts w:ascii="Arial" w:hAnsi="Arial" w:cs="Arial"/>
          <w:color w:val="000000"/>
          <w:spacing w:val="0"/>
          <w:position w:val="0"/>
        </w:rPr>
        <w:t xml:space="preserve"> saúde e </w:t>
      </w:r>
      <w:r w:rsidRPr="00811E8D">
        <w:rPr>
          <w:rFonts w:ascii="Arial" w:hAnsi="Arial" w:cs="Arial"/>
          <w:color w:val="000000"/>
          <w:spacing w:val="0"/>
          <w:position w:val="0"/>
        </w:rPr>
        <w:t>qualidade de vida.</w:t>
      </w:r>
    </w:p>
    <w:p w14:paraId="62958C52" w14:textId="5819DFE9" w:rsidR="00C02154" w:rsidRPr="00811E8D" w:rsidRDefault="00C02154" w:rsidP="008D473A">
      <w:pPr>
        <w:shd w:val="clear" w:color="auto" w:fill="FFFFFF"/>
        <w:spacing w:line="360" w:lineRule="auto"/>
        <w:ind w:firstLine="709"/>
        <w:contextualSpacing/>
        <w:jc w:val="both"/>
        <w:rPr>
          <w:rFonts w:ascii="Arial" w:hAnsi="Arial" w:cs="Arial"/>
          <w:color w:val="000000"/>
          <w:spacing w:val="0"/>
          <w:position w:val="0"/>
        </w:rPr>
      </w:pPr>
      <w:r w:rsidRPr="00811E8D">
        <w:rPr>
          <w:rFonts w:ascii="Arial" w:hAnsi="Arial" w:cs="Arial"/>
          <w:color w:val="000000"/>
          <w:spacing w:val="0"/>
          <w:position w:val="0"/>
        </w:rPr>
        <w:t>No Brasil</w:t>
      </w:r>
      <w:r w:rsidR="007870CB" w:rsidRPr="00811E8D">
        <w:rPr>
          <w:rFonts w:ascii="Arial" w:hAnsi="Arial" w:cs="Arial"/>
          <w:color w:val="000000"/>
          <w:spacing w:val="0"/>
          <w:position w:val="0"/>
        </w:rPr>
        <w:t>,</w:t>
      </w:r>
      <w:r w:rsidRPr="00811E8D">
        <w:rPr>
          <w:rFonts w:ascii="Arial" w:hAnsi="Arial" w:cs="Arial"/>
          <w:color w:val="000000"/>
          <w:spacing w:val="0"/>
          <w:position w:val="0"/>
        </w:rPr>
        <w:t xml:space="preserve"> as principais estratégias de gestão do trabalho</w:t>
      </w:r>
      <w:r w:rsidR="007870CB" w:rsidRPr="00811E8D">
        <w:rPr>
          <w:rFonts w:ascii="Arial" w:hAnsi="Arial" w:cs="Arial"/>
          <w:color w:val="000000"/>
          <w:spacing w:val="0"/>
          <w:position w:val="0"/>
        </w:rPr>
        <w:t>,</w:t>
      </w:r>
      <w:r w:rsidRPr="00811E8D">
        <w:rPr>
          <w:rFonts w:ascii="Arial" w:hAnsi="Arial" w:cs="Arial"/>
          <w:color w:val="000000"/>
          <w:spacing w:val="0"/>
          <w:position w:val="0"/>
        </w:rPr>
        <w:t xml:space="preserve"> pelas empresas</w:t>
      </w:r>
      <w:r w:rsidR="007870CB" w:rsidRPr="00811E8D">
        <w:rPr>
          <w:rFonts w:ascii="Arial" w:hAnsi="Arial" w:cs="Arial"/>
          <w:color w:val="000000"/>
          <w:spacing w:val="0"/>
          <w:position w:val="0"/>
        </w:rPr>
        <w:t>,</w:t>
      </w:r>
      <w:r w:rsidRPr="00811E8D">
        <w:rPr>
          <w:rFonts w:ascii="Arial" w:hAnsi="Arial" w:cs="Arial"/>
          <w:color w:val="000000"/>
          <w:spacing w:val="0"/>
          <w:position w:val="0"/>
        </w:rPr>
        <w:t xml:space="preserve"> são a terceirização</w:t>
      </w:r>
      <w:r w:rsidR="00A91151" w:rsidRPr="00811E8D">
        <w:rPr>
          <w:rFonts w:ascii="Arial" w:hAnsi="Arial" w:cs="Arial"/>
          <w:color w:val="000000"/>
          <w:spacing w:val="0"/>
          <w:position w:val="0"/>
        </w:rPr>
        <w:t xml:space="preserve"> </w:t>
      </w:r>
      <w:r w:rsidR="005258F6" w:rsidRPr="00811E8D">
        <w:rPr>
          <w:rFonts w:ascii="Arial" w:hAnsi="Arial" w:cs="Arial"/>
          <w:color w:val="000000"/>
          <w:spacing w:val="0"/>
          <w:position w:val="0"/>
        </w:rPr>
        <w:t xml:space="preserve">dos serviços, </w:t>
      </w:r>
      <w:r w:rsidRPr="00811E8D">
        <w:rPr>
          <w:rFonts w:ascii="Arial" w:hAnsi="Arial" w:cs="Arial"/>
          <w:color w:val="000000"/>
          <w:spacing w:val="0"/>
          <w:position w:val="0"/>
        </w:rPr>
        <w:t xml:space="preserve">a flexibilização </w:t>
      </w:r>
      <w:r w:rsidR="005258F6" w:rsidRPr="00811E8D">
        <w:rPr>
          <w:rFonts w:ascii="Arial" w:hAnsi="Arial" w:cs="Arial"/>
          <w:color w:val="000000"/>
          <w:spacing w:val="0"/>
          <w:position w:val="0"/>
        </w:rPr>
        <w:t>dos direitos trabalhistas</w:t>
      </w:r>
      <w:r w:rsidRPr="00811E8D">
        <w:rPr>
          <w:rFonts w:ascii="Arial" w:hAnsi="Arial" w:cs="Arial"/>
          <w:color w:val="000000"/>
          <w:spacing w:val="0"/>
          <w:position w:val="0"/>
        </w:rPr>
        <w:t xml:space="preserve"> </w:t>
      </w:r>
      <w:r w:rsidR="005258F6" w:rsidRPr="00811E8D">
        <w:rPr>
          <w:rFonts w:ascii="Arial" w:hAnsi="Arial" w:cs="Arial"/>
          <w:color w:val="000000"/>
          <w:spacing w:val="0"/>
          <w:position w:val="0"/>
        </w:rPr>
        <w:t xml:space="preserve">e padronização dos </w:t>
      </w:r>
      <w:r w:rsidRPr="00811E8D">
        <w:rPr>
          <w:rFonts w:ascii="Arial" w:hAnsi="Arial" w:cs="Arial"/>
          <w:color w:val="000000"/>
          <w:spacing w:val="0"/>
          <w:position w:val="0"/>
        </w:rPr>
        <w:t>contratos</w:t>
      </w:r>
      <w:r w:rsidR="005258F6" w:rsidRPr="00811E8D">
        <w:rPr>
          <w:rFonts w:ascii="Arial" w:hAnsi="Arial" w:cs="Arial"/>
          <w:color w:val="000000"/>
          <w:spacing w:val="0"/>
          <w:position w:val="0"/>
        </w:rPr>
        <w:t>, fruto do capitalismo e avidez ao lucro.</w:t>
      </w:r>
      <w:r w:rsidRPr="00811E8D">
        <w:rPr>
          <w:rFonts w:ascii="Arial" w:hAnsi="Arial" w:cs="Arial"/>
          <w:color w:val="000000"/>
          <w:spacing w:val="0"/>
          <w:position w:val="0"/>
        </w:rPr>
        <w:t xml:space="preserve"> </w:t>
      </w:r>
      <w:r w:rsidR="005258F6" w:rsidRPr="00811E8D">
        <w:rPr>
          <w:rFonts w:ascii="Arial" w:hAnsi="Arial" w:cs="Arial"/>
          <w:color w:val="000000"/>
          <w:spacing w:val="0"/>
          <w:position w:val="0"/>
        </w:rPr>
        <w:t xml:space="preserve">A nível estadual, </w:t>
      </w:r>
      <w:r w:rsidRPr="00811E8D">
        <w:rPr>
          <w:rFonts w:ascii="Arial" w:hAnsi="Arial" w:cs="Arial"/>
          <w:color w:val="000000"/>
          <w:spacing w:val="0"/>
          <w:position w:val="0"/>
        </w:rPr>
        <w:t xml:space="preserve">São Paulo </w:t>
      </w:r>
      <w:r w:rsidR="005258F6" w:rsidRPr="00811E8D">
        <w:rPr>
          <w:rFonts w:ascii="Arial" w:hAnsi="Arial" w:cs="Arial"/>
          <w:color w:val="000000"/>
          <w:spacing w:val="0"/>
          <w:position w:val="0"/>
        </w:rPr>
        <w:t>n</w:t>
      </w:r>
      <w:r w:rsidRPr="00811E8D">
        <w:rPr>
          <w:rFonts w:ascii="Arial" w:hAnsi="Arial" w:cs="Arial"/>
          <w:color w:val="000000"/>
          <w:spacing w:val="0"/>
          <w:position w:val="0"/>
        </w:rPr>
        <w:t xml:space="preserve">ão é diferente, </w:t>
      </w:r>
      <w:r w:rsidR="005258F6" w:rsidRPr="00811E8D">
        <w:rPr>
          <w:rFonts w:ascii="Arial" w:hAnsi="Arial" w:cs="Arial"/>
          <w:color w:val="000000"/>
          <w:spacing w:val="0"/>
          <w:position w:val="0"/>
        </w:rPr>
        <w:t xml:space="preserve">até mesmo por incorporar a metrópole mais rica e populosa do país, </w:t>
      </w:r>
      <w:r w:rsidRPr="00811E8D">
        <w:rPr>
          <w:rFonts w:ascii="Arial" w:hAnsi="Arial" w:cs="Arial"/>
          <w:color w:val="000000"/>
          <w:spacing w:val="0"/>
          <w:position w:val="0"/>
        </w:rPr>
        <w:t xml:space="preserve">apesar de algumas regionalidades. </w:t>
      </w:r>
      <w:r w:rsidR="00ED24A5" w:rsidRPr="00811E8D">
        <w:rPr>
          <w:rFonts w:ascii="Arial" w:hAnsi="Arial" w:cs="Arial"/>
          <w:color w:val="000000"/>
          <w:spacing w:val="0"/>
          <w:position w:val="0"/>
        </w:rPr>
        <w:t xml:space="preserve">Em sentido amplo, o Estado de São Paulo </w:t>
      </w:r>
      <w:r w:rsidRPr="00811E8D">
        <w:rPr>
          <w:rFonts w:ascii="Arial" w:hAnsi="Arial" w:cs="Arial"/>
          <w:color w:val="000000"/>
          <w:spacing w:val="0"/>
          <w:position w:val="0"/>
        </w:rPr>
        <w:t>possui diversos polos industriais e agrícolas, como o petroquímico, automobilístico, calçadista</w:t>
      </w:r>
      <w:r w:rsidR="00BB1D45" w:rsidRPr="00811E8D">
        <w:rPr>
          <w:rFonts w:ascii="Arial" w:hAnsi="Arial" w:cs="Arial"/>
          <w:color w:val="000000"/>
          <w:spacing w:val="0"/>
          <w:position w:val="0"/>
        </w:rPr>
        <w:t xml:space="preserve"> e</w:t>
      </w:r>
      <w:r w:rsidRPr="00811E8D">
        <w:rPr>
          <w:rFonts w:ascii="Arial" w:hAnsi="Arial" w:cs="Arial"/>
          <w:color w:val="000000"/>
          <w:spacing w:val="0"/>
          <w:position w:val="0"/>
        </w:rPr>
        <w:t xml:space="preserve"> agroindústrias</w:t>
      </w:r>
      <w:r w:rsidR="00BB1D45" w:rsidRPr="00811E8D">
        <w:rPr>
          <w:rFonts w:ascii="Arial" w:hAnsi="Arial" w:cs="Arial"/>
          <w:color w:val="000000"/>
          <w:spacing w:val="0"/>
          <w:position w:val="0"/>
        </w:rPr>
        <w:t>.</w:t>
      </w:r>
      <w:r w:rsidR="00ED24A5" w:rsidRPr="00811E8D">
        <w:rPr>
          <w:rFonts w:ascii="Arial" w:hAnsi="Arial" w:cs="Arial"/>
          <w:color w:val="000000"/>
          <w:spacing w:val="0"/>
          <w:position w:val="0"/>
        </w:rPr>
        <w:t xml:space="preserve"> Dessa </w:t>
      </w:r>
      <w:r w:rsidR="002552FB" w:rsidRPr="00811E8D">
        <w:rPr>
          <w:rFonts w:ascii="Arial" w:hAnsi="Arial" w:cs="Arial"/>
          <w:color w:val="000000"/>
          <w:spacing w:val="0"/>
          <w:position w:val="0"/>
        </w:rPr>
        <w:t>maneira</w:t>
      </w:r>
      <w:r w:rsidR="00ED24A5" w:rsidRPr="00811E8D">
        <w:rPr>
          <w:rFonts w:ascii="Arial" w:hAnsi="Arial" w:cs="Arial"/>
          <w:color w:val="000000"/>
          <w:spacing w:val="0"/>
          <w:position w:val="0"/>
        </w:rPr>
        <w:t>, a</w:t>
      </w:r>
      <w:r w:rsidRPr="00811E8D">
        <w:rPr>
          <w:rFonts w:ascii="Arial" w:hAnsi="Arial" w:cs="Arial"/>
          <w:color w:val="000000"/>
          <w:spacing w:val="0"/>
          <w:position w:val="0"/>
        </w:rPr>
        <w:t xml:space="preserve">o tempo em que geram </w:t>
      </w:r>
      <w:r w:rsidR="00ED24A5" w:rsidRPr="00811E8D">
        <w:rPr>
          <w:rFonts w:ascii="Arial" w:hAnsi="Arial" w:cs="Arial"/>
          <w:color w:val="000000"/>
          <w:spacing w:val="0"/>
          <w:position w:val="0"/>
        </w:rPr>
        <w:t xml:space="preserve">o </w:t>
      </w:r>
      <w:r w:rsidRPr="00811E8D">
        <w:rPr>
          <w:rFonts w:ascii="Arial" w:hAnsi="Arial" w:cs="Arial"/>
          <w:color w:val="000000"/>
          <w:spacing w:val="0"/>
          <w:position w:val="0"/>
        </w:rPr>
        <w:t>desenvolvimento econômico também implicam em impactos</w:t>
      </w:r>
      <w:r w:rsidR="00BB1D45" w:rsidRPr="00811E8D">
        <w:rPr>
          <w:rFonts w:ascii="Arial" w:hAnsi="Arial" w:cs="Arial"/>
          <w:color w:val="000000"/>
          <w:spacing w:val="0"/>
          <w:position w:val="0"/>
        </w:rPr>
        <w:t>,</w:t>
      </w:r>
      <w:r w:rsidRPr="00811E8D">
        <w:rPr>
          <w:rFonts w:ascii="Arial" w:hAnsi="Arial" w:cs="Arial"/>
          <w:color w:val="000000"/>
          <w:spacing w:val="0"/>
          <w:position w:val="0"/>
        </w:rPr>
        <w:t xml:space="preserve"> passivos ambientais</w:t>
      </w:r>
      <w:r w:rsidR="00BB1D45" w:rsidRPr="00811E8D">
        <w:rPr>
          <w:rFonts w:ascii="Arial" w:hAnsi="Arial" w:cs="Arial"/>
          <w:color w:val="000000"/>
          <w:spacing w:val="0"/>
          <w:position w:val="0"/>
        </w:rPr>
        <w:t xml:space="preserve"> e riscos</w:t>
      </w:r>
      <w:r w:rsidRPr="00811E8D">
        <w:rPr>
          <w:rFonts w:ascii="Arial" w:hAnsi="Arial" w:cs="Arial"/>
          <w:color w:val="000000"/>
          <w:spacing w:val="0"/>
          <w:position w:val="0"/>
        </w:rPr>
        <w:t xml:space="preserve"> à saúde</w:t>
      </w:r>
      <w:r w:rsidR="00BB1D45" w:rsidRPr="00811E8D">
        <w:rPr>
          <w:rFonts w:ascii="Arial" w:hAnsi="Arial" w:cs="Arial"/>
          <w:color w:val="000000"/>
          <w:spacing w:val="0"/>
          <w:position w:val="0"/>
        </w:rPr>
        <w:t xml:space="preserve"> coletiva.</w:t>
      </w:r>
      <w:r w:rsidR="00ED24A5" w:rsidRPr="00811E8D">
        <w:rPr>
          <w:rFonts w:ascii="Arial" w:hAnsi="Arial" w:cs="Arial"/>
          <w:color w:val="000000"/>
          <w:spacing w:val="0"/>
          <w:position w:val="0"/>
        </w:rPr>
        <w:t xml:space="preserve"> Sendo neste último aspecto consequencial, que se extrai os acidentes e doenças ocupacionais.</w:t>
      </w:r>
    </w:p>
    <w:p w14:paraId="4B48B6CA" w14:textId="3F0F8F7B" w:rsidR="00C240B8" w:rsidRPr="00811E8D" w:rsidRDefault="002552FB" w:rsidP="008D473A">
      <w:pPr>
        <w:pStyle w:val="NormalWeb"/>
        <w:spacing w:before="0" w:beforeAutospacing="0" w:after="0" w:afterAutospacing="0" w:line="360" w:lineRule="auto"/>
        <w:ind w:firstLine="709"/>
        <w:contextualSpacing/>
        <w:jc w:val="both"/>
        <w:textAlignment w:val="baseline"/>
        <w:rPr>
          <w:rFonts w:ascii="Arial" w:hAnsi="Arial" w:cs="Arial"/>
        </w:rPr>
      </w:pPr>
      <w:r w:rsidRPr="00811E8D">
        <w:rPr>
          <w:rFonts w:ascii="Arial" w:hAnsi="Arial" w:cs="Arial"/>
        </w:rPr>
        <w:t>Pode</w:t>
      </w:r>
      <w:r w:rsidR="00ED24A5" w:rsidRPr="00811E8D">
        <w:rPr>
          <w:rFonts w:ascii="Arial" w:hAnsi="Arial" w:cs="Arial"/>
        </w:rPr>
        <w:t>-se conceituar o</w:t>
      </w:r>
      <w:r w:rsidR="00BB1D45" w:rsidRPr="00811E8D">
        <w:rPr>
          <w:rFonts w:ascii="Arial" w:hAnsi="Arial" w:cs="Arial"/>
        </w:rPr>
        <w:t xml:space="preserve">s riscos de acidentes </w:t>
      </w:r>
      <w:r w:rsidR="00ED24A5" w:rsidRPr="00811E8D">
        <w:rPr>
          <w:rFonts w:ascii="Arial" w:hAnsi="Arial" w:cs="Arial"/>
        </w:rPr>
        <w:t>como</w:t>
      </w:r>
      <w:r w:rsidR="00BB1D45" w:rsidRPr="00811E8D">
        <w:rPr>
          <w:rFonts w:ascii="Arial" w:hAnsi="Arial" w:cs="Arial"/>
        </w:rPr>
        <w:t xml:space="preserve"> todos os fatores que colocam em perigo o trabalhador ou afetam sua integridade física ou moral. C</w:t>
      </w:r>
      <w:r w:rsidR="00C240B8" w:rsidRPr="00811E8D">
        <w:rPr>
          <w:rFonts w:ascii="Arial" w:hAnsi="Arial" w:cs="Arial"/>
        </w:rPr>
        <w:t xml:space="preserve">onforme o </w:t>
      </w:r>
      <w:r w:rsidR="00ED24A5" w:rsidRPr="00811E8D">
        <w:rPr>
          <w:rFonts w:ascii="Arial" w:hAnsi="Arial" w:cs="Arial"/>
        </w:rPr>
        <w:t>a</w:t>
      </w:r>
      <w:r w:rsidR="00C240B8" w:rsidRPr="00811E8D">
        <w:rPr>
          <w:rFonts w:ascii="Arial" w:hAnsi="Arial" w:cs="Arial"/>
        </w:rPr>
        <w:t xml:space="preserve">rt. 19 da Lei nº 8.213 de 24 de julho de 1991, “acidente do trabalho é o que ocorre pelo exercício do trabalho a serviço da empresa, ou pelo exercício do trabalho do segurado especial, provocando lesão corporal ou perturbação funcional, de caráter temporário ou permanente”. Pode </w:t>
      </w:r>
      <w:r w:rsidR="00B036F0" w:rsidRPr="00811E8D">
        <w:rPr>
          <w:rFonts w:ascii="Arial" w:hAnsi="Arial" w:cs="Arial"/>
        </w:rPr>
        <w:t xml:space="preserve">gerar </w:t>
      </w:r>
      <w:r w:rsidR="00C240B8" w:rsidRPr="00811E8D">
        <w:rPr>
          <w:rFonts w:ascii="Arial" w:hAnsi="Arial" w:cs="Arial"/>
        </w:rPr>
        <w:t xml:space="preserve">afastamento, perda ou redução da capacidade </w:t>
      </w:r>
      <w:r w:rsidR="00B036F0" w:rsidRPr="00811E8D">
        <w:rPr>
          <w:rFonts w:ascii="Arial" w:hAnsi="Arial" w:cs="Arial"/>
        </w:rPr>
        <w:t xml:space="preserve">de </w:t>
      </w:r>
      <w:r w:rsidR="00C240B8" w:rsidRPr="00811E8D">
        <w:rPr>
          <w:rFonts w:ascii="Arial" w:hAnsi="Arial" w:cs="Arial"/>
        </w:rPr>
        <w:t>trabalho</w:t>
      </w:r>
      <w:r w:rsidR="00B036F0" w:rsidRPr="00811E8D">
        <w:rPr>
          <w:rFonts w:ascii="Arial" w:hAnsi="Arial" w:cs="Arial"/>
        </w:rPr>
        <w:t xml:space="preserve"> e</w:t>
      </w:r>
      <w:r w:rsidR="00C240B8" w:rsidRPr="00811E8D">
        <w:rPr>
          <w:rFonts w:ascii="Arial" w:hAnsi="Arial" w:cs="Arial"/>
        </w:rPr>
        <w:t xml:space="preserve"> até mesmo a morte. </w:t>
      </w:r>
      <w:r w:rsidR="00B036F0" w:rsidRPr="00811E8D">
        <w:rPr>
          <w:rFonts w:ascii="Arial" w:hAnsi="Arial" w:cs="Arial"/>
        </w:rPr>
        <w:t>A</w:t>
      </w:r>
      <w:r w:rsidR="00C240B8" w:rsidRPr="00811E8D">
        <w:rPr>
          <w:rFonts w:ascii="Arial" w:hAnsi="Arial" w:cs="Arial"/>
        </w:rPr>
        <w:t xml:space="preserve"> doença profissional</w:t>
      </w:r>
      <w:r w:rsidR="00B036F0" w:rsidRPr="00811E8D">
        <w:rPr>
          <w:rFonts w:ascii="Arial" w:hAnsi="Arial" w:cs="Arial"/>
        </w:rPr>
        <w:t>,</w:t>
      </w:r>
      <w:r w:rsidR="00C240B8" w:rsidRPr="00811E8D">
        <w:rPr>
          <w:rFonts w:ascii="Arial" w:hAnsi="Arial" w:cs="Arial"/>
        </w:rPr>
        <w:t xml:space="preserve"> </w:t>
      </w:r>
      <w:r w:rsidR="00B036F0" w:rsidRPr="00811E8D">
        <w:rPr>
          <w:rFonts w:ascii="Arial" w:hAnsi="Arial" w:cs="Arial"/>
        </w:rPr>
        <w:t>ocasionada</w:t>
      </w:r>
      <w:r w:rsidR="00C240B8" w:rsidRPr="00811E8D">
        <w:rPr>
          <w:rFonts w:ascii="Arial" w:hAnsi="Arial" w:cs="Arial"/>
        </w:rPr>
        <w:t xml:space="preserve"> pelo exercício do trabalho peculiar a determinada atividade</w:t>
      </w:r>
      <w:r w:rsidR="00B036F0" w:rsidRPr="00811E8D">
        <w:rPr>
          <w:rFonts w:ascii="Arial" w:hAnsi="Arial" w:cs="Arial"/>
        </w:rPr>
        <w:t xml:space="preserve"> e/ou </w:t>
      </w:r>
      <w:r w:rsidR="00C240B8" w:rsidRPr="00811E8D">
        <w:rPr>
          <w:rFonts w:ascii="Arial" w:hAnsi="Arial" w:cs="Arial"/>
        </w:rPr>
        <w:t xml:space="preserve">adquirida em função de condições especiais em que o trabalho é realizado </w:t>
      </w:r>
      <w:r w:rsidR="00B036F0" w:rsidRPr="00811E8D">
        <w:rPr>
          <w:rFonts w:ascii="Arial" w:hAnsi="Arial" w:cs="Arial"/>
        </w:rPr>
        <w:t>também é considerada acidente do trabalho</w:t>
      </w:r>
      <w:r w:rsidR="00455466">
        <w:rPr>
          <w:rFonts w:ascii="Arial" w:hAnsi="Arial" w:cs="Arial"/>
          <w:vertAlign w:val="superscript"/>
        </w:rPr>
        <w:t xml:space="preserve"> </w:t>
      </w:r>
      <w:r w:rsidR="00455466">
        <w:rPr>
          <w:rFonts w:ascii="Arial" w:hAnsi="Arial" w:cs="Arial"/>
        </w:rPr>
        <w:t>(BRASIL, 1991)</w:t>
      </w:r>
      <w:r w:rsidR="00C240B8" w:rsidRPr="00811E8D">
        <w:rPr>
          <w:rFonts w:ascii="Arial" w:hAnsi="Arial" w:cs="Arial"/>
        </w:rPr>
        <w:t xml:space="preserve">. </w:t>
      </w:r>
    </w:p>
    <w:p w14:paraId="6886814C" w14:textId="1AACCA4A" w:rsidR="00B358E4" w:rsidRPr="00811E8D" w:rsidRDefault="00083F61"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lastRenderedPageBreak/>
        <w:t xml:space="preserve">Uma das principais doenças ocupacionais é a </w:t>
      </w:r>
      <w:r w:rsidR="00B358E4" w:rsidRPr="00811E8D">
        <w:rPr>
          <w:rFonts w:ascii="Arial" w:hAnsi="Arial" w:cs="Arial"/>
          <w:spacing w:val="0"/>
          <w:position w:val="0"/>
        </w:rPr>
        <w:t>Doença Osteomuscular Relacionada ao Trabalho (DORT)</w:t>
      </w:r>
      <w:r w:rsidRPr="00811E8D">
        <w:rPr>
          <w:rFonts w:ascii="Arial" w:hAnsi="Arial" w:cs="Arial"/>
          <w:spacing w:val="0"/>
          <w:position w:val="0"/>
        </w:rPr>
        <w:t xml:space="preserve">. </w:t>
      </w:r>
      <w:r w:rsidR="00455466">
        <w:rPr>
          <w:rFonts w:ascii="Arial" w:hAnsi="Arial" w:cs="Arial"/>
          <w:spacing w:val="0"/>
          <w:position w:val="0"/>
        </w:rPr>
        <w:t xml:space="preserve">Segundo o US </w:t>
      </w:r>
      <w:proofErr w:type="spellStart"/>
      <w:r w:rsidR="00455466">
        <w:rPr>
          <w:rFonts w:ascii="Arial" w:hAnsi="Arial" w:cs="Arial"/>
          <w:spacing w:val="0"/>
          <w:position w:val="0"/>
        </w:rPr>
        <w:t>Dept</w:t>
      </w:r>
      <w:proofErr w:type="spellEnd"/>
      <w:r w:rsidR="00455466">
        <w:rPr>
          <w:rFonts w:ascii="Arial" w:hAnsi="Arial" w:cs="Arial"/>
          <w:spacing w:val="0"/>
          <w:position w:val="0"/>
        </w:rPr>
        <w:t xml:space="preserve">. </w:t>
      </w:r>
      <w:proofErr w:type="spellStart"/>
      <w:r w:rsidR="00455466">
        <w:rPr>
          <w:rFonts w:ascii="Arial" w:hAnsi="Arial" w:cs="Arial"/>
          <w:spacing w:val="0"/>
          <w:position w:val="0"/>
        </w:rPr>
        <w:t>of</w:t>
      </w:r>
      <w:proofErr w:type="spellEnd"/>
      <w:r w:rsidR="00455466">
        <w:rPr>
          <w:rFonts w:ascii="Arial" w:hAnsi="Arial" w:cs="Arial"/>
          <w:spacing w:val="0"/>
          <w:position w:val="0"/>
        </w:rPr>
        <w:t xml:space="preserve"> Health </w:t>
      </w:r>
      <w:proofErr w:type="spellStart"/>
      <w:r w:rsidR="00455466">
        <w:rPr>
          <w:rFonts w:ascii="Arial" w:hAnsi="Arial" w:cs="Arial"/>
          <w:spacing w:val="0"/>
          <w:position w:val="0"/>
        </w:rPr>
        <w:t>and</w:t>
      </w:r>
      <w:proofErr w:type="spellEnd"/>
      <w:r w:rsidR="00455466">
        <w:rPr>
          <w:rFonts w:ascii="Arial" w:hAnsi="Arial" w:cs="Arial"/>
          <w:spacing w:val="0"/>
          <w:position w:val="0"/>
        </w:rPr>
        <w:t xml:space="preserve"> </w:t>
      </w:r>
      <w:proofErr w:type="spellStart"/>
      <w:r w:rsidR="00455466">
        <w:rPr>
          <w:rFonts w:ascii="Arial" w:hAnsi="Arial" w:cs="Arial"/>
          <w:spacing w:val="0"/>
          <w:position w:val="0"/>
        </w:rPr>
        <w:t>Human</w:t>
      </w:r>
      <w:proofErr w:type="spellEnd"/>
      <w:r w:rsidR="00455466">
        <w:rPr>
          <w:rFonts w:ascii="Arial" w:hAnsi="Arial" w:cs="Arial"/>
          <w:spacing w:val="0"/>
          <w:position w:val="0"/>
        </w:rPr>
        <w:t xml:space="preserve"> Services (1997), as DORT são </w:t>
      </w:r>
      <w:r w:rsidR="00B358E4" w:rsidRPr="00811E8D">
        <w:rPr>
          <w:rFonts w:ascii="Arial" w:hAnsi="Arial" w:cs="Arial"/>
          <w:spacing w:val="0"/>
          <w:position w:val="0"/>
        </w:rPr>
        <w:t xml:space="preserve">afecções que envolvem </w:t>
      </w:r>
      <w:r w:rsidRPr="00811E8D">
        <w:rPr>
          <w:rFonts w:ascii="Arial" w:hAnsi="Arial" w:cs="Arial"/>
          <w:spacing w:val="0"/>
          <w:position w:val="0"/>
        </w:rPr>
        <w:t xml:space="preserve">as estruturas de suporte do corpo, </w:t>
      </w:r>
      <w:r w:rsidR="00BB1D45" w:rsidRPr="00811E8D">
        <w:rPr>
          <w:rFonts w:ascii="Arial" w:hAnsi="Arial" w:cs="Arial"/>
          <w:spacing w:val="0"/>
          <w:position w:val="0"/>
        </w:rPr>
        <w:t xml:space="preserve">como </w:t>
      </w:r>
      <w:r w:rsidR="00250E70" w:rsidRPr="00811E8D">
        <w:rPr>
          <w:rFonts w:ascii="Arial" w:hAnsi="Arial" w:cs="Arial"/>
          <w:spacing w:val="0"/>
          <w:position w:val="0"/>
        </w:rPr>
        <w:t>os</w:t>
      </w:r>
      <w:r w:rsidRPr="00811E8D">
        <w:rPr>
          <w:rFonts w:ascii="Arial" w:hAnsi="Arial" w:cs="Arial"/>
          <w:spacing w:val="0"/>
          <w:position w:val="0"/>
        </w:rPr>
        <w:t xml:space="preserve"> </w:t>
      </w:r>
      <w:r w:rsidR="00B358E4" w:rsidRPr="00811E8D">
        <w:rPr>
          <w:rFonts w:ascii="Arial" w:hAnsi="Arial" w:cs="Arial"/>
          <w:spacing w:val="0"/>
          <w:position w:val="0"/>
        </w:rPr>
        <w:t>nervos, tecidos</w:t>
      </w:r>
      <w:r w:rsidRPr="00811E8D">
        <w:rPr>
          <w:rFonts w:ascii="Arial" w:hAnsi="Arial" w:cs="Arial"/>
          <w:spacing w:val="0"/>
          <w:position w:val="0"/>
        </w:rPr>
        <w:t xml:space="preserve"> e</w:t>
      </w:r>
      <w:r w:rsidR="00B358E4" w:rsidRPr="00811E8D">
        <w:rPr>
          <w:rFonts w:ascii="Arial" w:hAnsi="Arial" w:cs="Arial"/>
          <w:spacing w:val="0"/>
          <w:position w:val="0"/>
        </w:rPr>
        <w:t xml:space="preserve"> tendões</w:t>
      </w:r>
      <w:r w:rsidR="00250E70" w:rsidRPr="00811E8D">
        <w:rPr>
          <w:rFonts w:ascii="Arial" w:hAnsi="Arial" w:cs="Arial"/>
          <w:spacing w:val="0"/>
          <w:position w:val="0"/>
        </w:rPr>
        <w:t>. São</w:t>
      </w:r>
      <w:r w:rsidRPr="00811E8D">
        <w:rPr>
          <w:rFonts w:ascii="Arial" w:hAnsi="Arial" w:cs="Arial"/>
          <w:spacing w:val="0"/>
          <w:position w:val="0"/>
        </w:rPr>
        <w:t xml:space="preserve"> </w:t>
      </w:r>
      <w:r w:rsidR="00B358E4" w:rsidRPr="00811E8D">
        <w:rPr>
          <w:rFonts w:ascii="Arial" w:hAnsi="Arial" w:cs="Arial"/>
          <w:spacing w:val="0"/>
          <w:position w:val="0"/>
        </w:rPr>
        <w:t xml:space="preserve">causadas por processo crônico desenvolvido por atividades </w:t>
      </w:r>
      <w:r w:rsidRPr="00811E8D">
        <w:rPr>
          <w:rFonts w:ascii="Arial" w:hAnsi="Arial" w:cs="Arial"/>
          <w:spacing w:val="0"/>
          <w:position w:val="0"/>
        </w:rPr>
        <w:t>laborais</w:t>
      </w:r>
      <w:r w:rsidR="00B358E4" w:rsidRPr="00811E8D">
        <w:rPr>
          <w:rFonts w:ascii="Arial" w:hAnsi="Arial" w:cs="Arial"/>
          <w:spacing w:val="0"/>
          <w:position w:val="0"/>
        </w:rPr>
        <w:t xml:space="preserve">. Devido a </w:t>
      </w:r>
      <w:r w:rsidR="00BB1D45" w:rsidRPr="00811E8D">
        <w:rPr>
          <w:rFonts w:ascii="Arial" w:hAnsi="Arial" w:cs="Arial"/>
          <w:spacing w:val="0"/>
          <w:position w:val="0"/>
        </w:rPr>
        <w:t>abrangência</w:t>
      </w:r>
      <w:r w:rsidR="00B358E4" w:rsidRPr="00811E8D">
        <w:rPr>
          <w:rFonts w:ascii="Arial" w:hAnsi="Arial" w:cs="Arial"/>
          <w:spacing w:val="0"/>
          <w:position w:val="0"/>
        </w:rPr>
        <w:t xml:space="preserve"> no país, </w:t>
      </w:r>
      <w:r w:rsidR="00BB1D45" w:rsidRPr="00811E8D">
        <w:rPr>
          <w:rFonts w:ascii="Arial" w:hAnsi="Arial" w:cs="Arial"/>
          <w:spacing w:val="0"/>
          <w:position w:val="0"/>
        </w:rPr>
        <w:t>a DORT</w:t>
      </w:r>
      <w:r w:rsidR="00B358E4" w:rsidRPr="00811E8D">
        <w:rPr>
          <w:rFonts w:ascii="Arial" w:hAnsi="Arial" w:cs="Arial"/>
          <w:spacing w:val="0"/>
          <w:position w:val="0"/>
        </w:rPr>
        <w:t xml:space="preserve"> </w:t>
      </w:r>
      <w:r w:rsidR="00250E70" w:rsidRPr="00811E8D">
        <w:rPr>
          <w:rFonts w:ascii="Arial" w:hAnsi="Arial" w:cs="Arial"/>
          <w:spacing w:val="0"/>
          <w:position w:val="0"/>
        </w:rPr>
        <w:t>é considerada</w:t>
      </w:r>
      <w:r w:rsidR="00B358E4" w:rsidRPr="00811E8D">
        <w:rPr>
          <w:rFonts w:ascii="Arial" w:hAnsi="Arial" w:cs="Arial"/>
          <w:spacing w:val="0"/>
          <w:position w:val="0"/>
        </w:rPr>
        <w:t xml:space="preserve"> </w:t>
      </w:r>
      <w:r w:rsidR="00250E70" w:rsidRPr="00811E8D">
        <w:rPr>
          <w:rFonts w:ascii="Arial" w:hAnsi="Arial" w:cs="Arial"/>
          <w:spacing w:val="0"/>
          <w:position w:val="0"/>
        </w:rPr>
        <w:t xml:space="preserve">um </w:t>
      </w:r>
      <w:r w:rsidR="00B358E4" w:rsidRPr="00811E8D">
        <w:rPr>
          <w:rFonts w:ascii="Arial" w:hAnsi="Arial" w:cs="Arial"/>
          <w:spacing w:val="0"/>
          <w:position w:val="0"/>
        </w:rPr>
        <w:t>problema de saúde pública</w:t>
      </w:r>
      <w:r w:rsidR="00455466">
        <w:rPr>
          <w:rFonts w:ascii="Arial" w:hAnsi="Arial" w:cs="Arial"/>
          <w:spacing w:val="0"/>
          <w:position w:val="0"/>
        </w:rPr>
        <w:t xml:space="preserve"> (MUROFUSE; MARZIALE, 2005</w:t>
      </w:r>
      <w:r w:rsidR="005E486C">
        <w:rPr>
          <w:rFonts w:ascii="Arial" w:hAnsi="Arial" w:cs="Arial"/>
          <w:spacing w:val="0"/>
          <w:position w:val="0"/>
        </w:rPr>
        <w:t>)</w:t>
      </w:r>
      <w:r w:rsidR="00B358E4" w:rsidRPr="00811E8D">
        <w:rPr>
          <w:rFonts w:ascii="Arial" w:hAnsi="Arial" w:cs="Arial"/>
          <w:spacing w:val="0"/>
          <w:position w:val="0"/>
        </w:rPr>
        <w:t>.</w:t>
      </w:r>
    </w:p>
    <w:p w14:paraId="1A2A9F4C" w14:textId="17608E99" w:rsidR="007506AB" w:rsidRPr="00811E8D" w:rsidRDefault="002552FB"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Dada a potencialidade do impacto a ser gerado pelos números de casos de DORT e, por conseguinte, visando erradicar ou</w:t>
      </w:r>
      <w:r w:rsidR="005E486C">
        <w:rPr>
          <w:rFonts w:ascii="Arial" w:hAnsi="Arial" w:cs="Arial"/>
          <w:spacing w:val="0"/>
          <w:position w:val="0"/>
        </w:rPr>
        <w:t xml:space="preserve"> </w:t>
      </w:r>
      <w:r w:rsidRPr="00811E8D">
        <w:rPr>
          <w:rFonts w:ascii="Arial" w:hAnsi="Arial" w:cs="Arial"/>
          <w:spacing w:val="0"/>
          <w:position w:val="0"/>
        </w:rPr>
        <w:t xml:space="preserve">minimizar tal índice, envidou-se esforços para estabelecer parâmetros aptos </w:t>
      </w:r>
      <w:proofErr w:type="gramStart"/>
      <w:r w:rsidRPr="00811E8D">
        <w:rPr>
          <w:rFonts w:ascii="Arial" w:hAnsi="Arial" w:cs="Arial"/>
          <w:spacing w:val="0"/>
          <w:position w:val="0"/>
        </w:rPr>
        <w:t>à</w:t>
      </w:r>
      <w:proofErr w:type="gramEnd"/>
      <w:r w:rsidRPr="00811E8D">
        <w:rPr>
          <w:rFonts w:ascii="Arial" w:hAnsi="Arial" w:cs="Arial"/>
          <w:spacing w:val="0"/>
          <w:position w:val="0"/>
        </w:rPr>
        <w:t xml:space="preserve"> viabilizar a adaptação dos ambientais laborais aos trabalhadores, de forma a proporcionar um espaço saudável e adequado. Com isso, no ano de 1978, veio a lume a NR 17 – Ergonomia. Essa Norma Regulamentadora, de notório cunho constitucional (art. 7° da </w:t>
      </w:r>
      <w:r w:rsidR="0059682B" w:rsidRPr="00811E8D">
        <w:rPr>
          <w:rFonts w:ascii="Arial" w:hAnsi="Arial" w:cs="Arial"/>
          <w:spacing w:val="0"/>
          <w:position w:val="0"/>
        </w:rPr>
        <w:t xml:space="preserve">Constituição da República Federativa do Brasil - </w:t>
      </w:r>
      <w:r w:rsidRPr="00811E8D">
        <w:rPr>
          <w:rFonts w:ascii="Arial" w:hAnsi="Arial" w:cs="Arial"/>
          <w:spacing w:val="0"/>
          <w:position w:val="0"/>
        </w:rPr>
        <w:t xml:space="preserve">CRFB/88) e embasamento legal (art. 198 e 199 da Consolidação das Leis do Trabalho – CLT) </w:t>
      </w:r>
      <w:r w:rsidR="00430881" w:rsidRPr="00811E8D">
        <w:rPr>
          <w:rFonts w:ascii="Arial" w:hAnsi="Arial" w:cs="Arial"/>
          <w:spacing w:val="0"/>
          <w:position w:val="0"/>
        </w:rPr>
        <w:t>define que a</w:t>
      </w:r>
      <w:r w:rsidR="007506AB" w:rsidRPr="00811E8D">
        <w:rPr>
          <w:rFonts w:ascii="Arial" w:hAnsi="Arial" w:cs="Arial"/>
          <w:spacing w:val="0"/>
          <w:position w:val="0"/>
        </w:rPr>
        <w:t xml:space="preserve"> adaptação deve </w:t>
      </w:r>
      <w:r w:rsidR="00430881" w:rsidRPr="00811E8D">
        <w:rPr>
          <w:rFonts w:ascii="Arial" w:hAnsi="Arial" w:cs="Arial"/>
          <w:spacing w:val="0"/>
          <w:position w:val="0"/>
        </w:rPr>
        <w:t>considerar</w:t>
      </w:r>
      <w:r w:rsidR="007506AB" w:rsidRPr="00811E8D">
        <w:rPr>
          <w:rFonts w:ascii="Arial" w:hAnsi="Arial" w:cs="Arial"/>
          <w:spacing w:val="0"/>
          <w:position w:val="0"/>
        </w:rPr>
        <w:t xml:space="preserve"> os aspectos psicológicos, biológicos, sociais e espirituais a fim de favorecer conforto, segurança e desempenho eficiente do trabalho, sem risco à saúde</w:t>
      </w:r>
      <w:r w:rsidR="00430881" w:rsidRPr="00811E8D">
        <w:rPr>
          <w:rFonts w:ascii="Arial" w:hAnsi="Arial" w:cs="Arial"/>
          <w:spacing w:val="0"/>
          <w:position w:val="0"/>
        </w:rPr>
        <w:t xml:space="preserve"> do trabalhador</w:t>
      </w:r>
      <w:r w:rsidR="00455466">
        <w:rPr>
          <w:rFonts w:ascii="Arial" w:hAnsi="Arial" w:cs="Arial"/>
          <w:spacing w:val="0"/>
          <w:position w:val="0"/>
          <w:vertAlign w:val="superscript"/>
        </w:rPr>
        <w:t xml:space="preserve"> </w:t>
      </w:r>
      <w:r w:rsidR="00455466">
        <w:rPr>
          <w:rFonts w:ascii="Arial" w:hAnsi="Arial" w:cs="Arial"/>
          <w:spacing w:val="0"/>
          <w:position w:val="0"/>
        </w:rPr>
        <w:t>(BRASIL, 2018)</w:t>
      </w:r>
      <w:r w:rsidR="007506AB" w:rsidRPr="00811E8D">
        <w:rPr>
          <w:rFonts w:ascii="Arial" w:hAnsi="Arial" w:cs="Arial"/>
          <w:spacing w:val="0"/>
          <w:position w:val="0"/>
        </w:rPr>
        <w:t>.</w:t>
      </w:r>
    </w:p>
    <w:p w14:paraId="1E3515F6" w14:textId="578D866B" w:rsidR="00C02154" w:rsidRPr="00811E8D" w:rsidRDefault="007870CB"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Conforme o exposto, um ambiente adequado e saudável para a execução do labor, envolve uma série de nuances, cujas minuciosidades, jungida dos custos, impõe óbices para a sua efetiva implementação. </w:t>
      </w:r>
      <w:r w:rsidR="00C02154" w:rsidRPr="00811E8D">
        <w:rPr>
          <w:rFonts w:ascii="Arial" w:hAnsi="Arial" w:cs="Arial"/>
          <w:spacing w:val="0"/>
          <w:position w:val="0"/>
        </w:rPr>
        <w:t>O histórico da segurança do trabalho no Brasil demonstra a complexidade do setor e as dificuldades na gestão</w:t>
      </w:r>
      <w:r w:rsidRPr="00811E8D">
        <w:rPr>
          <w:rFonts w:ascii="Arial" w:hAnsi="Arial" w:cs="Arial"/>
          <w:spacing w:val="0"/>
          <w:position w:val="0"/>
        </w:rPr>
        <w:t>, demandando estratégias para superá-las. Exatamente neste viés, que a</w:t>
      </w:r>
      <w:r w:rsidR="00C02154" w:rsidRPr="00811E8D">
        <w:rPr>
          <w:rFonts w:ascii="Arial" w:hAnsi="Arial" w:cs="Arial"/>
          <w:spacing w:val="0"/>
          <w:position w:val="0"/>
        </w:rPr>
        <w:t xml:space="preserve"> divulgação de dados que reflitam a realidade e a correlação com indicadores de desenvolvimento econômico e social como o Índice de Desenvolvimento Humano Municipal (IDHM) e o Produto Interno Bruto (PIB), </w:t>
      </w:r>
      <w:r w:rsidRPr="00811E8D">
        <w:rPr>
          <w:rFonts w:ascii="Arial" w:hAnsi="Arial" w:cs="Arial"/>
          <w:spacing w:val="0"/>
          <w:position w:val="0"/>
        </w:rPr>
        <w:t>se mostra uma importante ferramenta para</w:t>
      </w:r>
      <w:r w:rsidR="00C02154" w:rsidRPr="00811E8D">
        <w:rPr>
          <w:rFonts w:ascii="Arial" w:hAnsi="Arial" w:cs="Arial"/>
          <w:spacing w:val="0"/>
          <w:position w:val="0"/>
        </w:rPr>
        <w:t xml:space="preserve"> demonstrar como as políticas públicas</w:t>
      </w:r>
      <w:r w:rsidRPr="00811E8D">
        <w:rPr>
          <w:rFonts w:ascii="Arial" w:hAnsi="Arial" w:cs="Arial"/>
          <w:spacing w:val="0"/>
          <w:position w:val="0"/>
        </w:rPr>
        <w:t>,</w:t>
      </w:r>
      <w:r w:rsidR="00C02154" w:rsidRPr="00811E8D">
        <w:rPr>
          <w:rFonts w:ascii="Arial" w:hAnsi="Arial" w:cs="Arial"/>
          <w:spacing w:val="0"/>
          <w:position w:val="0"/>
        </w:rPr>
        <w:t xml:space="preserve"> aliadas ao compromisso social</w:t>
      </w:r>
      <w:r w:rsidRPr="00811E8D">
        <w:rPr>
          <w:rFonts w:ascii="Arial" w:hAnsi="Arial" w:cs="Arial"/>
          <w:spacing w:val="0"/>
          <w:position w:val="0"/>
        </w:rPr>
        <w:t>,</w:t>
      </w:r>
      <w:r w:rsidR="00C02154" w:rsidRPr="00811E8D">
        <w:rPr>
          <w:rFonts w:ascii="Arial" w:hAnsi="Arial" w:cs="Arial"/>
          <w:spacing w:val="0"/>
          <w:position w:val="0"/>
        </w:rPr>
        <w:t xml:space="preserve"> são capazes de propiciar melhorias na qualidade de vida da população</w:t>
      </w:r>
      <w:r w:rsidR="00F8418F" w:rsidRPr="00811E8D">
        <w:rPr>
          <w:rFonts w:ascii="Arial" w:hAnsi="Arial" w:cs="Arial"/>
          <w:spacing w:val="0"/>
          <w:position w:val="0"/>
        </w:rPr>
        <w:t xml:space="preserve"> economicamente ativa</w:t>
      </w:r>
      <w:r w:rsidR="00C02154" w:rsidRPr="00811E8D">
        <w:rPr>
          <w:rFonts w:ascii="Arial" w:hAnsi="Arial" w:cs="Arial"/>
          <w:spacing w:val="0"/>
          <w:position w:val="0"/>
        </w:rPr>
        <w:t>.</w:t>
      </w:r>
    </w:p>
    <w:p w14:paraId="5E5F5FA7" w14:textId="56FC2714" w:rsidR="00243E3A" w:rsidRPr="00811E8D" w:rsidRDefault="00A90103" w:rsidP="005E486C">
      <w:pPr>
        <w:spacing w:line="360" w:lineRule="auto"/>
        <w:ind w:firstLine="709"/>
        <w:contextualSpacing/>
        <w:jc w:val="both"/>
        <w:rPr>
          <w:rFonts w:ascii="Arial" w:hAnsi="Arial" w:cs="Arial"/>
          <w:color w:val="000000"/>
          <w:spacing w:val="0"/>
          <w:position w:val="0"/>
        </w:rPr>
      </w:pPr>
      <w:bookmarkStart w:id="0" w:name="_Hlk38374833"/>
      <w:r w:rsidRPr="00811E8D">
        <w:rPr>
          <w:rFonts w:ascii="Arial" w:hAnsi="Arial" w:cs="Arial"/>
          <w:spacing w:val="0"/>
          <w:position w:val="0"/>
        </w:rPr>
        <w:t>Diante dessa realidade e c</w:t>
      </w:r>
      <w:r w:rsidR="00C02154" w:rsidRPr="00811E8D">
        <w:rPr>
          <w:rFonts w:ascii="Arial" w:hAnsi="Arial" w:cs="Arial"/>
          <w:spacing w:val="0"/>
          <w:position w:val="0"/>
        </w:rPr>
        <w:t xml:space="preserve">onsiderando que os municípios de São Paulo concentram aproximadamente 20% da população </w:t>
      </w:r>
      <w:r w:rsidR="00B34115" w:rsidRPr="00811E8D">
        <w:rPr>
          <w:rFonts w:ascii="Arial" w:hAnsi="Arial" w:cs="Arial"/>
          <w:spacing w:val="0"/>
          <w:position w:val="0"/>
        </w:rPr>
        <w:t>brasileira</w:t>
      </w:r>
      <w:r w:rsidR="00455466">
        <w:rPr>
          <w:rFonts w:ascii="Arial" w:hAnsi="Arial" w:cs="Arial"/>
          <w:spacing w:val="0"/>
          <w:position w:val="0"/>
        </w:rPr>
        <w:t>, conforme dados do Instituto Brasileiro de Geografia e Estatística – IBGE (2011)</w:t>
      </w:r>
      <w:r w:rsidR="00C02154" w:rsidRPr="00811E8D">
        <w:rPr>
          <w:rFonts w:ascii="Arial" w:hAnsi="Arial" w:cs="Arial"/>
          <w:spacing w:val="0"/>
          <w:position w:val="0"/>
        </w:rPr>
        <w:t xml:space="preserve">, este trabalho torna-se </w:t>
      </w:r>
      <w:r w:rsidR="00B34115" w:rsidRPr="00811E8D">
        <w:rPr>
          <w:rFonts w:ascii="Arial" w:hAnsi="Arial" w:cs="Arial"/>
          <w:spacing w:val="0"/>
          <w:position w:val="0"/>
        </w:rPr>
        <w:t>relevante</w:t>
      </w:r>
      <w:r w:rsidR="00C02154" w:rsidRPr="00811E8D">
        <w:rPr>
          <w:rFonts w:ascii="Arial" w:hAnsi="Arial" w:cs="Arial"/>
          <w:spacing w:val="0"/>
          <w:position w:val="0"/>
        </w:rPr>
        <w:t xml:space="preserve"> por realizar um diagnóstico da situação atual das doenças </w:t>
      </w:r>
      <w:r w:rsidR="00B34115" w:rsidRPr="00811E8D">
        <w:rPr>
          <w:rFonts w:ascii="Arial" w:hAnsi="Arial" w:cs="Arial"/>
          <w:spacing w:val="0"/>
          <w:position w:val="0"/>
        </w:rPr>
        <w:t>ocupacionais</w:t>
      </w:r>
      <w:r w:rsidR="00C02154" w:rsidRPr="00811E8D">
        <w:rPr>
          <w:rFonts w:ascii="Arial" w:hAnsi="Arial" w:cs="Arial"/>
          <w:spacing w:val="0"/>
          <w:position w:val="0"/>
        </w:rPr>
        <w:t xml:space="preserve"> e elucidar correlações com indicadores sociais. </w:t>
      </w:r>
    </w:p>
    <w:bookmarkEnd w:id="0"/>
    <w:p w14:paraId="594E347C" w14:textId="5CD84A20" w:rsidR="00646A4E" w:rsidRPr="00811E8D" w:rsidRDefault="00455466" w:rsidP="00471E6B">
      <w:pPr>
        <w:spacing w:line="360" w:lineRule="auto"/>
        <w:contextualSpacing/>
        <w:jc w:val="both"/>
        <w:rPr>
          <w:rFonts w:ascii="Arial" w:hAnsi="Arial" w:cs="Arial"/>
          <w:b/>
          <w:spacing w:val="0"/>
          <w:position w:val="0"/>
        </w:rPr>
      </w:pPr>
      <w:r>
        <w:rPr>
          <w:rFonts w:ascii="Arial" w:hAnsi="Arial" w:cs="Arial"/>
          <w:b/>
          <w:spacing w:val="0"/>
          <w:position w:val="0"/>
        </w:rPr>
        <w:t>Material e m</w:t>
      </w:r>
      <w:r w:rsidR="00AD2E13" w:rsidRPr="00811E8D">
        <w:rPr>
          <w:rFonts w:ascii="Arial" w:hAnsi="Arial" w:cs="Arial"/>
          <w:b/>
          <w:spacing w:val="0"/>
          <w:position w:val="0"/>
        </w:rPr>
        <w:t>étodos</w:t>
      </w:r>
    </w:p>
    <w:p w14:paraId="01CA1BF5" w14:textId="77777777" w:rsidR="00AD2E13" w:rsidRPr="00811E8D" w:rsidRDefault="00AD2E13" w:rsidP="00471E6B">
      <w:pPr>
        <w:spacing w:line="360" w:lineRule="auto"/>
        <w:contextualSpacing/>
        <w:jc w:val="both"/>
        <w:rPr>
          <w:rFonts w:ascii="Arial" w:hAnsi="Arial" w:cs="Arial"/>
          <w:b/>
          <w:spacing w:val="0"/>
          <w:position w:val="0"/>
        </w:rPr>
      </w:pPr>
    </w:p>
    <w:p w14:paraId="056FA576" w14:textId="0590A6EC" w:rsidR="004F5A8C" w:rsidRDefault="00804AE1" w:rsidP="00763C1C">
      <w:pPr>
        <w:shd w:val="clear" w:color="auto" w:fill="FFFFFF"/>
        <w:spacing w:line="360" w:lineRule="auto"/>
        <w:ind w:firstLine="709"/>
        <w:contextualSpacing/>
        <w:jc w:val="both"/>
        <w:rPr>
          <w:rFonts w:ascii="Arial" w:hAnsi="Arial" w:cs="Arial"/>
          <w:color w:val="000000"/>
          <w:spacing w:val="0"/>
          <w:position w:val="0"/>
          <w:shd w:val="clear" w:color="auto" w:fill="FFFFFF"/>
        </w:rPr>
      </w:pPr>
      <w:r w:rsidRPr="00811E8D">
        <w:rPr>
          <w:rFonts w:ascii="Arial" w:hAnsi="Arial" w:cs="Arial"/>
          <w:spacing w:val="0"/>
          <w:position w:val="0"/>
        </w:rPr>
        <w:lastRenderedPageBreak/>
        <w:t xml:space="preserve">A área de estudo </w:t>
      </w:r>
      <w:r w:rsidRPr="004F5A8C">
        <w:rPr>
          <w:rFonts w:ascii="Arial" w:hAnsi="Arial" w:cs="Arial"/>
          <w:spacing w:val="0"/>
          <w:position w:val="0"/>
        </w:rPr>
        <w:t>(Figura 1)</w:t>
      </w:r>
      <w:r w:rsidRPr="00811E8D">
        <w:rPr>
          <w:rFonts w:ascii="Arial" w:hAnsi="Arial" w:cs="Arial"/>
          <w:spacing w:val="0"/>
          <w:position w:val="0"/>
        </w:rPr>
        <w:t xml:space="preserve"> abrange o Estado de São Paulo e todos os seus municípios</w:t>
      </w:r>
      <w:r w:rsidR="007870CB" w:rsidRPr="00811E8D">
        <w:rPr>
          <w:rFonts w:ascii="Arial" w:hAnsi="Arial" w:cs="Arial"/>
          <w:spacing w:val="0"/>
          <w:position w:val="0"/>
        </w:rPr>
        <w:t>,</w:t>
      </w:r>
      <w:r w:rsidRPr="00811E8D">
        <w:rPr>
          <w:rFonts w:ascii="Arial" w:hAnsi="Arial" w:cs="Arial"/>
          <w:spacing w:val="0"/>
          <w:position w:val="0"/>
        </w:rPr>
        <w:t xml:space="preserve"> com ênfase para as cidades com mais de 500 mil habitantes, classificadas como de grande porte pelo IBGE, a saber: C</w:t>
      </w:r>
      <w:r w:rsidRPr="00811E8D">
        <w:rPr>
          <w:rFonts w:ascii="Arial" w:hAnsi="Arial" w:cs="Arial"/>
          <w:color w:val="000000"/>
          <w:spacing w:val="0"/>
          <w:position w:val="0"/>
        </w:rPr>
        <w:t>ampinas, Guarulhos, Osasco, Ribeirão Preto, Santo André, São Bernardo do Campo, São José dos Campos, São Paulo, Sorocaba</w:t>
      </w:r>
      <w:r w:rsidRPr="00811E8D">
        <w:rPr>
          <w:rFonts w:ascii="Arial" w:hAnsi="Arial" w:cs="Arial"/>
          <w:spacing w:val="0"/>
          <w:position w:val="0"/>
        </w:rPr>
        <w:t>. A população dessas cidades em conjunto é de</w:t>
      </w:r>
      <w:r w:rsidR="007870CB" w:rsidRPr="00811E8D">
        <w:rPr>
          <w:rFonts w:ascii="Arial" w:hAnsi="Arial" w:cs="Arial"/>
          <w:spacing w:val="0"/>
          <w:position w:val="0"/>
        </w:rPr>
        <w:t>,</w:t>
      </w:r>
      <w:r w:rsidRPr="00811E8D">
        <w:rPr>
          <w:rFonts w:ascii="Arial" w:hAnsi="Arial" w:cs="Arial"/>
          <w:spacing w:val="0"/>
          <w:position w:val="0"/>
        </w:rPr>
        <w:t xml:space="preserve"> aproximadamente</w:t>
      </w:r>
      <w:r w:rsidR="007870CB" w:rsidRPr="00811E8D">
        <w:rPr>
          <w:rFonts w:ascii="Arial" w:hAnsi="Arial" w:cs="Arial"/>
          <w:spacing w:val="0"/>
          <w:position w:val="0"/>
        </w:rPr>
        <w:t>,</w:t>
      </w:r>
      <w:r w:rsidRPr="00811E8D">
        <w:rPr>
          <w:rFonts w:ascii="Arial" w:hAnsi="Arial" w:cs="Arial"/>
          <w:spacing w:val="0"/>
          <w:position w:val="0"/>
        </w:rPr>
        <w:t xml:space="preserve"> 19 milhões </w:t>
      </w:r>
      <w:r w:rsidR="00F80EF1" w:rsidRPr="00811E8D">
        <w:rPr>
          <w:rFonts w:ascii="Arial" w:hAnsi="Arial" w:cs="Arial"/>
          <w:spacing w:val="0"/>
          <w:position w:val="0"/>
        </w:rPr>
        <w:t xml:space="preserve">de habitantes </w:t>
      </w:r>
      <w:r w:rsidRPr="00811E8D">
        <w:rPr>
          <w:rFonts w:ascii="Arial" w:hAnsi="Arial" w:cs="Arial"/>
          <w:spacing w:val="0"/>
          <w:position w:val="0"/>
        </w:rPr>
        <w:t xml:space="preserve">e representa 42% da população estadual, estimada em mais de 45,5 milhões de </w:t>
      </w:r>
      <w:r w:rsidR="00F80EF1" w:rsidRPr="00811E8D">
        <w:rPr>
          <w:rFonts w:ascii="Arial" w:hAnsi="Arial" w:cs="Arial"/>
          <w:spacing w:val="0"/>
          <w:position w:val="0"/>
        </w:rPr>
        <w:t>pessoas</w:t>
      </w:r>
      <w:r w:rsidR="00CA438E" w:rsidRPr="00811E8D">
        <w:rPr>
          <w:rFonts w:ascii="Arial" w:hAnsi="Arial" w:cs="Arial"/>
          <w:spacing w:val="0"/>
          <w:position w:val="0"/>
        </w:rPr>
        <w:t>. Desse</w:t>
      </w:r>
      <w:r w:rsidR="00135C1D" w:rsidRPr="00811E8D">
        <w:rPr>
          <w:rFonts w:ascii="Arial" w:hAnsi="Arial" w:cs="Arial"/>
          <w:spacing w:val="0"/>
          <w:position w:val="0"/>
        </w:rPr>
        <w:t xml:space="preserve"> montante</w:t>
      </w:r>
      <w:r w:rsidR="00CA438E" w:rsidRPr="00811E8D">
        <w:rPr>
          <w:rFonts w:ascii="Arial" w:hAnsi="Arial" w:cs="Arial"/>
          <w:spacing w:val="0"/>
          <w:position w:val="0"/>
        </w:rPr>
        <w:t xml:space="preserve">, </w:t>
      </w:r>
      <w:r w:rsidR="00CA438E" w:rsidRPr="00811E8D">
        <w:rPr>
          <w:rFonts w:ascii="Arial" w:hAnsi="Arial" w:cs="Arial"/>
          <w:color w:val="000000"/>
          <w:spacing w:val="0"/>
          <w:position w:val="0"/>
          <w:shd w:val="clear" w:color="auto" w:fill="FFFFFF"/>
        </w:rPr>
        <w:t>21,27 milhões de trabalhadores compõe</w:t>
      </w:r>
      <w:r w:rsidR="00135C1D" w:rsidRPr="00811E8D">
        <w:rPr>
          <w:rFonts w:ascii="Arial" w:hAnsi="Arial" w:cs="Arial"/>
          <w:color w:val="000000"/>
          <w:spacing w:val="0"/>
          <w:position w:val="0"/>
          <w:shd w:val="clear" w:color="auto" w:fill="FFFFFF"/>
        </w:rPr>
        <w:t>m</w:t>
      </w:r>
      <w:r w:rsidR="00CA438E" w:rsidRPr="00811E8D">
        <w:rPr>
          <w:rFonts w:ascii="Arial" w:hAnsi="Arial" w:cs="Arial"/>
          <w:color w:val="000000"/>
          <w:spacing w:val="0"/>
          <w:position w:val="0"/>
          <w:shd w:val="clear" w:color="auto" w:fill="FFFFFF"/>
        </w:rPr>
        <w:t xml:space="preserve"> a parcela economicamente ativa do Estado</w:t>
      </w:r>
      <w:r w:rsidR="004F5A8C">
        <w:rPr>
          <w:rFonts w:ascii="Arial" w:hAnsi="Arial" w:cs="Arial"/>
          <w:color w:val="000000"/>
          <w:spacing w:val="0"/>
          <w:position w:val="0"/>
          <w:shd w:val="clear" w:color="auto" w:fill="FFFFFF"/>
        </w:rPr>
        <w:t xml:space="preserve"> (IBGE, 2016)</w:t>
      </w:r>
      <w:r w:rsidR="00CA438E" w:rsidRPr="00811E8D">
        <w:rPr>
          <w:rFonts w:ascii="Arial" w:hAnsi="Arial" w:cs="Arial"/>
          <w:color w:val="000000"/>
          <w:spacing w:val="0"/>
          <w:position w:val="0"/>
          <w:shd w:val="clear" w:color="auto" w:fill="FFFFFF"/>
        </w:rPr>
        <w:t>.</w:t>
      </w:r>
    </w:p>
    <w:p w14:paraId="19607039" w14:textId="77777777" w:rsidR="00763C1C" w:rsidRDefault="00763C1C" w:rsidP="00763C1C">
      <w:pPr>
        <w:shd w:val="clear" w:color="auto" w:fill="FFFFFF"/>
        <w:spacing w:line="360" w:lineRule="auto"/>
        <w:ind w:firstLine="709"/>
        <w:contextualSpacing/>
        <w:jc w:val="both"/>
        <w:rPr>
          <w:rFonts w:ascii="Arial" w:hAnsi="Arial" w:cs="Arial"/>
          <w:b/>
          <w:bCs/>
          <w:spacing w:val="0"/>
          <w:position w:val="0"/>
        </w:rPr>
      </w:pPr>
    </w:p>
    <w:p w14:paraId="6D2C0F39" w14:textId="5DFFEA19" w:rsidR="00430881" w:rsidRPr="004F5A8C" w:rsidRDefault="004F5A8C" w:rsidP="004F5A8C">
      <w:pPr>
        <w:contextualSpacing/>
        <w:rPr>
          <w:rFonts w:ascii="Arial" w:hAnsi="Arial" w:cs="Arial"/>
          <w:b/>
          <w:bCs/>
          <w:color w:val="000000"/>
          <w:shd w:val="clear" w:color="auto" w:fill="FFFFFF"/>
        </w:rPr>
      </w:pPr>
      <w:r w:rsidRPr="004F5A8C">
        <w:rPr>
          <w:rFonts w:ascii="Arial" w:hAnsi="Arial" w:cs="Arial"/>
          <w:b/>
          <w:bCs/>
          <w:spacing w:val="0"/>
          <w:position w:val="0"/>
        </w:rPr>
        <w:t>Figura 1</w:t>
      </w:r>
      <w:r>
        <w:rPr>
          <w:rFonts w:ascii="Arial" w:hAnsi="Arial" w:cs="Arial"/>
          <w:b/>
          <w:bCs/>
          <w:spacing w:val="0"/>
          <w:position w:val="0"/>
        </w:rPr>
        <w:t xml:space="preserve">: </w:t>
      </w:r>
      <w:r w:rsidRPr="004F5A8C">
        <w:rPr>
          <w:rFonts w:ascii="Arial" w:hAnsi="Arial" w:cs="Arial"/>
          <w:b/>
          <w:bCs/>
          <w:spacing w:val="0"/>
          <w:position w:val="0"/>
        </w:rPr>
        <w:t>Localização da área de estudo.</w:t>
      </w:r>
    </w:p>
    <w:p w14:paraId="4C952F2D" w14:textId="77777777" w:rsidR="00804AE1" w:rsidRPr="00811E8D" w:rsidRDefault="00804AE1" w:rsidP="00AD2E13">
      <w:pPr>
        <w:jc w:val="center"/>
        <w:rPr>
          <w:rFonts w:ascii="Arial" w:hAnsi="Arial" w:cs="Arial"/>
          <w:spacing w:val="0"/>
          <w:position w:val="0"/>
        </w:rPr>
      </w:pPr>
      <w:r w:rsidRPr="00811E8D">
        <w:rPr>
          <w:rFonts w:ascii="Arial" w:hAnsi="Arial" w:cs="Arial"/>
          <w:noProof/>
          <w:spacing w:val="0"/>
          <w:position w:val="0"/>
        </w:rPr>
        <w:drawing>
          <wp:inline distT="0" distB="0" distL="0" distR="0" wp14:anchorId="2CA7CC9A" wp14:editId="73710C7E">
            <wp:extent cx="5400000" cy="37722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Área de Estud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3772260"/>
                    </a:xfrm>
                    <a:prstGeom prst="rect">
                      <a:avLst/>
                    </a:prstGeom>
                  </pic:spPr>
                </pic:pic>
              </a:graphicData>
            </a:graphic>
          </wp:inline>
        </w:drawing>
      </w:r>
    </w:p>
    <w:p w14:paraId="123FABD4" w14:textId="7E7FCF2F" w:rsidR="00804AE1" w:rsidRPr="00811E8D" w:rsidRDefault="00804AE1" w:rsidP="008D473A">
      <w:pPr>
        <w:spacing w:line="360" w:lineRule="auto"/>
        <w:contextualSpacing/>
        <w:rPr>
          <w:rFonts w:ascii="Arial" w:hAnsi="Arial" w:cs="Arial"/>
          <w:spacing w:val="0"/>
          <w:position w:val="0"/>
        </w:rPr>
      </w:pPr>
      <w:r w:rsidRPr="00811E8D">
        <w:rPr>
          <w:rFonts w:ascii="Arial" w:hAnsi="Arial" w:cs="Arial"/>
          <w:spacing w:val="0"/>
          <w:position w:val="0"/>
        </w:rPr>
        <w:t xml:space="preserve">Fonte: </w:t>
      </w:r>
      <w:r w:rsidR="007506AB" w:rsidRPr="00811E8D">
        <w:rPr>
          <w:rFonts w:ascii="Arial" w:hAnsi="Arial" w:cs="Arial"/>
          <w:spacing w:val="0"/>
          <w:position w:val="0"/>
        </w:rPr>
        <w:t>Dados da pesquisa</w:t>
      </w:r>
      <w:r w:rsidRPr="00811E8D">
        <w:rPr>
          <w:rFonts w:ascii="Arial" w:hAnsi="Arial" w:cs="Arial"/>
          <w:spacing w:val="0"/>
          <w:position w:val="0"/>
        </w:rPr>
        <w:t>.</w:t>
      </w:r>
    </w:p>
    <w:p w14:paraId="13847284" w14:textId="77777777" w:rsidR="00135C1D" w:rsidRPr="00811E8D" w:rsidRDefault="00135C1D" w:rsidP="008D473A">
      <w:pPr>
        <w:spacing w:line="360" w:lineRule="auto"/>
        <w:ind w:firstLine="567"/>
        <w:contextualSpacing/>
        <w:jc w:val="both"/>
        <w:rPr>
          <w:rFonts w:ascii="Arial" w:hAnsi="Arial" w:cs="Arial"/>
          <w:spacing w:val="0"/>
          <w:position w:val="0"/>
        </w:rPr>
      </w:pPr>
    </w:p>
    <w:p w14:paraId="08BD1D26" w14:textId="0A20F27A" w:rsidR="00E668F3" w:rsidRPr="00811E8D" w:rsidRDefault="00E668F3" w:rsidP="008D473A">
      <w:pPr>
        <w:pStyle w:val="NormalWeb"/>
        <w:spacing w:before="0" w:beforeAutospacing="0" w:after="0" w:afterAutospacing="0" w:line="360" w:lineRule="auto"/>
        <w:ind w:firstLine="709"/>
        <w:contextualSpacing/>
        <w:jc w:val="both"/>
        <w:textAlignment w:val="baseline"/>
        <w:rPr>
          <w:rFonts w:ascii="Arial" w:hAnsi="Arial" w:cs="Arial"/>
        </w:rPr>
      </w:pPr>
      <w:r w:rsidRPr="00811E8D">
        <w:rPr>
          <w:rFonts w:ascii="Arial" w:hAnsi="Arial" w:cs="Arial"/>
        </w:rPr>
        <w:t>Os principais conceitos abordados são os acidentes do trabalho com CAT (Comunicação de Acidente de Trabalho) registrada. Para o desenvolvimento, foram consultadas as bases de dados da Previdência Social Brasileira (</w:t>
      </w:r>
      <w:proofErr w:type="spellStart"/>
      <w:r w:rsidRPr="00811E8D">
        <w:rPr>
          <w:rFonts w:ascii="Arial" w:hAnsi="Arial" w:cs="Arial"/>
        </w:rPr>
        <w:t>DataPrev</w:t>
      </w:r>
      <w:proofErr w:type="spellEnd"/>
      <w:r w:rsidRPr="00811E8D">
        <w:rPr>
          <w:rFonts w:ascii="Arial" w:hAnsi="Arial" w:cs="Arial"/>
        </w:rPr>
        <w:t xml:space="preserve">), por meio dos Anuários Estatístico de Acidentes de Trabalho - AEAT, no período de 2002 a 2018; o histórico de acidentes e de doenças ocupacionais com CAT para o capítulo XIII (M: Osteomusculares) da 10ª Revisão da Classificação Internacional de Doenças (CID-10), de 2003 a 2017 e os acidentes e doenças do trabalho segundo a Classificação Nacional de Atividades Econômicas – CNAE para o Estado de São Paulo de 2016 a </w:t>
      </w:r>
      <w:r w:rsidRPr="00811E8D">
        <w:rPr>
          <w:rFonts w:ascii="Arial" w:hAnsi="Arial" w:cs="Arial"/>
        </w:rPr>
        <w:lastRenderedPageBreak/>
        <w:t>2018</w:t>
      </w:r>
      <w:r w:rsidR="004F5A8C">
        <w:rPr>
          <w:rFonts w:ascii="Arial" w:hAnsi="Arial" w:cs="Arial"/>
        </w:rPr>
        <w:t xml:space="preserve"> (BRASIL, 2020)</w:t>
      </w:r>
      <w:r w:rsidRPr="00811E8D">
        <w:rPr>
          <w:rFonts w:ascii="Arial" w:hAnsi="Arial" w:cs="Arial"/>
        </w:rPr>
        <w:t>. Foram compilados também dados sobre os municípios paulistas como a população total, PIB e IDHM, conforme informações disponibilizadas pelo Instituto Brasileiro de Geografia e Estatística – IBGE</w:t>
      </w:r>
      <w:r w:rsidR="004F5A8C">
        <w:rPr>
          <w:rFonts w:ascii="Arial" w:hAnsi="Arial" w:cs="Arial"/>
        </w:rPr>
        <w:t xml:space="preserve"> (IBGE, 2019)</w:t>
      </w:r>
      <w:r w:rsidRPr="00811E8D">
        <w:rPr>
          <w:rFonts w:ascii="Arial" w:hAnsi="Arial" w:cs="Arial"/>
        </w:rPr>
        <w:t>.</w:t>
      </w:r>
    </w:p>
    <w:p w14:paraId="33EA5B66" w14:textId="05E42786" w:rsidR="0004247F" w:rsidRPr="00811E8D" w:rsidRDefault="00804AE1"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Os dados consultados foram submetidos a análise estatística descritiva com o uso de tabelas dinâmicas e de correlação por meio do suplemento </w:t>
      </w:r>
      <w:proofErr w:type="spellStart"/>
      <w:r w:rsidRPr="00811E8D">
        <w:rPr>
          <w:rFonts w:ascii="Arial" w:hAnsi="Arial" w:cs="Arial"/>
          <w:spacing w:val="0"/>
          <w:position w:val="0"/>
        </w:rPr>
        <w:t>ActionStat</w:t>
      </w:r>
      <w:proofErr w:type="spellEnd"/>
      <w:r w:rsidRPr="00811E8D">
        <w:rPr>
          <w:rFonts w:ascii="Arial" w:hAnsi="Arial" w:cs="Arial"/>
          <w:spacing w:val="0"/>
          <w:position w:val="0"/>
        </w:rPr>
        <w:t xml:space="preserve"> 2.9 para Excel</w:t>
      </w:r>
      <w:r w:rsidR="004F5A8C">
        <w:rPr>
          <w:rFonts w:ascii="Arial" w:hAnsi="Arial" w:cs="Arial"/>
          <w:spacing w:val="0"/>
          <w:position w:val="0"/>
        </w:rPr>
        <w:t xml:space="preserve"> (EQUIPE STATCAMP, 2015)</w:t>
      </w:r>
      <w:r w:rsidRPr="00811E8D">
        <w:rPr>
          <w:rFonts w:ascii="Arial" w:hAnsi="Arial" w:cs="Arial"/>
          <w:spacing w:val="0"/>
          <w:position w:val="0"/>
        </w:rPr>
        <w:t>. Os resultados foram organizados em tabelas e gráficos</w:t>
      </w:r>
      <w:r w:rsidR="00571DE5" w:rsidRPr="00811E8D">
        <w:rPr>
          <w:rFonts w:ascii="Arial" w:hAnsi="Arial" w:cs="Arial"/>
          <w:spacing w:val="0"/>
          <w:position w:val="0"/>
        </w:rPr>
        <w:t xml:space="preserve"> e para as análises </w:t>
      </w:r>
      <w:r w:rsidR="0004247F" w:rsidRPr="00811E8D">
        <w:rPr>
          <w:rFonts w:ascii="Arial" w:hAnsi="Arial" w:cs="Arial"/>
          <w:spacing w:val="0"/>
          <w:position w:val="0"/>
        </w:rPr>
        <w:t xml:space="preserve">de correlação estatística, os testes de Pearson foram considerados significativos para p &lt; 0,05. </w:t>
      </w:r>
    </w:p>
    <w:p w14:paraId="2FBB0C9B" w14:textId="38425D74" w:rsidR="002D32F9" w:rsidRPr="00811E8D" w:rsidRDefault="0055449D" w:rsidP="008D473A">
      <w:pPr>
        <w:shd w:val="clear" w:color="auto" w:fill="FFFFFF"/>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Para ampliar o entendimento </w:t>
      </w:r>
      <w:r w:rsidR="00343A4C" w:rsidRPr="00811E8D">
        <w:rPr>
          <w:rFonts w:ascii="Arial" w:hAnsi="Arial" w:cs="Arial"/>
          <w:spacing w:val="0"/>
          <w:position w:val="0"/>
        </w:rPr>
        <w:t xml:space="preserve">sobre a evolução </w:t>
      </w:r>
      <w:r w:rsidR="00571DE5" w:rsidRPr="00811E8D">
        <w:rPr>
          <w:rFonts w:ascii="Arial" w:hAnsi="Arial" w:cs="Arial"/>
          <w:spacing w:val="0"/>
          <w:position w:val="0"/>
        </w:rPr>
        <w:t>das doenças ocupacionais</w:t>
      </w:r>
      <w:r w:rsidR="00343A4C" w:rsidRPr="00811E8D">
        <w:rPr>
          <w:rFonts w:ascii="Arial" w:hAnsi="Arial" w:cs="Arial"/>
          <w:spacing w:val="0"/>
          <w:position w:val="0"/>
        </w:rPr>
        <w:t xml:space="preserve"> nos âmbitos municipal e estadual, também</w:t>
      </w:r>
      <w:r w:rsidRPr="00811E8D">
        <w:rPr>
          <w:rFonts w:ascii="Arial" w:hAnsi="Arial" w:cs="Arial"/>
          <w:spacing w:val="0"/>
          <w:position w:val="0"/>
        </w:rPr>
        <w:t xml:space="preserve"> foram desenvolvidos indicadores utilizando </w:t>
      </w:r>
      <w:r w:rsidR="00343A4C" w:rsidRPr="00811E8D">
        <w:rPr>
          <w:rFonts w:ascii="Arial" w:hAnsi="Arial" w:cs="Arial"/>
          <w:spacing w:val="0"/>
          <w:position w:val="0"/>
        </w:rPr>
        <w:t>a base de dados do AEAT</w:t>
      </w:r>
      <w:r w:rsidR="002E1DDB" w:rsidRPr="00811E8D">
        <w:rPr>
          <w:rFonts w:ascii="Arial" w:hAnsi="Arial" w:cs="Arial"/>
          <w:spacing w:val="0"/>
          <w:position w:val="0"/>
        </w:rPr>
        <w:t xml:space="preserve"> de 2002 a 2018</w:t>
      </w:r>
      <w:r w:rsidRPr="00811E8D">
        <w:rPr>
          <w:rFonts w:ascii="Arial" w:hAnsi="Arial" w:cs="Arial"/>
          <w:spacing w:val="0"/>
          <w:position w:val="0"/>
        </w:rPr>
        <w:t xml:space="preserve">. </w:t>
      </w:r>
      <w:r w:rsidR="002E1DDB" w:rsidRPr="00811E8D">
        <w:rPr>
          <w:rFonts w:ascii="Arial" w:hAnsi="Arial" w:cs="Arial"/>
          <w:spacing w:val="0"/>
          <w:position w:val="0"/>
        </w:rPr>
        <w:t xml:space="preserve">Para isso, levou-se em consideração os acidentes registrados conforme a justificativa e a população estimada do município de origem. O </w:t>
      </w:r>
      <w:r w:rsidR="00571DE5" w:rsidRPr="00811E8D">
        <w:rPr>
          <w:rFonts w:ascii="Arial" w:hAnsi="Arial" w:cs="Arial"/>
          <w:spacing w:val="0"/>
          <w:position w:val="0"/>
        </w:rPr>
        <w:t>principal</w:t>
      </w:r>
      <w:r w:rsidR="002E1DDB" w:rsidRPr="00811E8D">
        <w:rPr>
          <w:rFonts w:ascii="Arial" w:hAnsi="Arial" w:cs="Arial"/>
          <w:spacing w:val="0"/>
          <w:position w:val="0"/>
        </w:rPr>
        <w:t xml:space="preserve"> indicador foi elaborado como sendo </w:t>
      </w:r>
      <w:r w:rsidR="001D6B8F" w:rsidRPr="00811E8D">
        <w:rPr>
          <w:rFonts w:ascii="Arial" w:hAnsi="Arial" w:cs="Arial"/>
          <w:spacing w:val="0"/>
          <w:position w:val="0"/>
        </w:rPr>
        <w:t>a razão entre a</w:t>
      </w:r>
      <w:r w:rsidRPr="00811E8D">
        <w:rPr>
          <w:rFonts w:ascii="Arial" w:hAnsi="Arial" w:cs="Arial"/>
          <w:spacing w:val="0"/>
          <w:position w:val="0"/>
        </w:rPr>
        <w:t xml:space="preserve"> média</w:t>
      </w:r>
      <w:r w:rsidR="001D6B8F" w:rsidRPr="00811E8D">
        <w:rPr>
          <w:rFonts w:ascii="Arial" w:hAnsi="Arial" w:cs="Arial"/>
          <w:spacing w:val="0"/>
          <w:position w:val="0"/>
        </w:rPr>
        <w:t xml:space="preserve"> anual</w:t>
      </w:r>
      <w:r w:rsidRPr="00811E8D">
        <w:rPr>
          <w:rFonts w:ascii="Arial" w:hAnsi="Arial" w:cs="Arial"/>
          <w:spacing w:val="0"/>
          <w:position w:val="0"/>
        </w:rPr>
        <w:t xml:space="preserve"> de doenças ocupacionais</w:t>
      </w:r>
      <w:r w:rsidR="001D6B8F" w:rsidRPr="00811E8D">
        <w:rPr>
          <w:rFonts w:ascii="Arial" w:hAnsi="Arial" w:cs="Arial"/>
          <w:spacing w:val="0"/>
          <w:position w:val="0"/>
        </w:rPr>
        <w:t xml:space="preserve"> a cada </w:t>
      </w:r>
      <w:r w:rsidRPr="00811E8D">
        <w:rPr>
          <w:rFonts w:ascii="Arial" w:hAnsi="Arial" w:cs="Arial"/>
          <w:spacing w:val="0"/>
          <w:position w:val="0"/>
        </w:rPr>
        <w:t xml:space="preserve">10mil habitantes </w:t>
      </w:r>
      <w:r w:rsidR="00571DE5" w:rsidRPr="00811E8D">
        <w:rPr>
          <w:rFonts w:ascii="Arial" w:hAnsi="Arial" w:cs="Arial"/>
          <w:spacing w:val="0"/>
          <w:position w:val="0"/>
        </w:rPr>
        <w:t>da população estimada pelo IBGE para o ano de 2018</w:t>
      </w:r>
      <w:r w:rsidRPr="00811E8D">
        <w:rPr>
          <w:rFonts w:ascii="Arial" w:hAnsi="Arial" w:cs="Arial"/>
          <w:spacing w:val="0"/>
          <w:position w:val="0"/>
        </w:rPr>
        <w:t>.</w:t>
      </w:r>
      <w:r w:rsidR="00E668F3" w:rsidRPr="00811E8D">
        <w:rPr>
          <w:rFonts w:ascii="Arial" w:hAnsi="Arial" w:cs="Arial"/>
          <w:spacing w:val="0"/>
          <w:position w:val="0"/>
        </w:rPr>
        <w:t xml:space="preserve"> </w:t>
      </w:r>
      <w:r w:rsidR="001D6B8F" w:rsidRPr="00811E8D">
        <w:rPr>
          <w:rFonts w:ascii="Arial" w:hAnsi="Arial" w:cs="Arial"/>
          <w:spacing w:val="0"/>
          <w:position w:val="0"/>
        </w:rPr>
        <w:t>O</w:t>
      </w:r>
      <w:r w:rsidRPr="00811E8D">
        <w:rPr>
          <w:rFonts w:ascii="Arial" w:hAnsi="Arial" w:cs="Arial"/>
          <w:spacing w:val="0"/>
          <w:position w:val="0"/>
        </w:rPr>
        <w:t xml:space="preserve">s resultados </w:t>
      </w:r>
      <w:r w:rsidR="00571DE5" w:rsidRPr="00811E8D">
        <w:rPr>
          <w:rFonts w:ascii="Arial" w:hAnsi="Arial" w:cs="Arial"/>
          <w:spacing w:val="0"/>
          <w:position w:val="0"/>
        </w:rPr>
        <w:t>foram</w:t>
      </w:r>
      <w:r w:rsidR="001D6B8F" w:rsidRPr="00811E8D">
        <w:rPr>
          <w:rFonts w:ascii="Arial" w:hAnsi="Arial" w:cs="Arial"/>
          <w:spacing w:val="0"/>
          <w:position w:val="0"/>
        </w:rPr>
        <w:t xml:space="preserve"> aplicados a uma base de dados georreferenciada por meio do programa QGIS 3.</w:t>
      </w:r>
      <w:r w:rsidR="008565EE" w:rsidRPr="00811E8D">
        <w:rPr>
          <w:rFonts w:ascii="Arial" w:hAnsi="Arial" w:cs="Arial"/>
          <w:spacing w:val="0"/>
          <w:position w:val="0"/>
        </w:rPr>
        <w:t>4</w:t>
      </w:r>
      <w:r w:rsidR="001D6B8F" w:rsidRPr="00811E8D">
        <w:rPr>
          <w:rFonts w:ascii="Arial" w:hAnsi="Arial" w:cs="Arial"/>
          <w:spacing w:val="0"/>
          <w:position w:val="0"/>
        </w:rPr>
        <w:t xml:space="preserve">, um sistema </w:t>
      </w:r>
      <w:r w:rsidR="00571DE5" w:rsidRPr="00811E8D">
        <w:rPr>
          <w:rFonts w:ascii="Arial" w:hAnsi="Arial" w:cs="Arial"/>
          <w:spacing w:val="0"/>
          <w:position w:val="0"/>
        </w:rPr>
        <w:t xml:space="preserve">gratuito </w:t>
      </w:r>
      <w:r w:rsidR="001D6B8F" w:rsidRPr="00811E8D">
        <w:rPr>
          <w:rFonts w:ascii="Arial" w:hAnsi="Arial" w:cs="Arial"/>
          <w:spacing w:val="0"/>
          <w:position w:val="0"/>
        </w:rPr>
        <w:t>de informações geográficas</w:t>
      </w:r>
      <w:r w:rsidR="00BC7F00" w:rsidRPr="00811E8D">
        <w:rPr>
          <w:rFonts w:ascii="Arial" w:hAnsi="Arial" w:cs="Arial"/>
          <w:spacing w:val="0"/>
          <w:position w:val="0"/>
        </w:rPr>
        <w:t>,</w:t>
      </w:r>
      <w:r w:rsidR="00571DE5" w:rsidRPr="00811E8D">
        <w:rPr>
          <w:rFonts w:ascii="Arial" w:hAnsi="Arial" w:cs="Arial"/>
          <w:spacing w:val="0"/>
          <w:position w:val="0"/>
        </w:rPr>
        <w:t xml:space="preserve"> que viabilizou </w:t>
      </w:r>
      <w:r w:rsidR="001D6B8F" w:rsidRPr="00811E8D">
        <w:rPr>
          <w:rFonts w:ascii="Arial" w:hAnsi="Arial" w:cs="Arial"/>
          <w:spacing w:val="0"/>
          <w:position w:val="0"/>
        </w:rPr>
        <w:t>a confecção de mapas temáticos</w:t>
      </w:r>
      <w:r w:rsidR="004F5A8C">
        <w:rPr>
          <w:rFonts w:ascii="Arial" w:hAnsi="Arial" w:cs="Arial"/>
          <w:spacing w:val="0"/>
          <w:position w:val="0"/>
        </w:rPr>
        <w:t xml:space="preserve"> (EQUIPE DE DESENVOLVIMENTO DO QGIS, 2018)</w:t>
      </w:r>
      <w:r w:rsidR="008565EE" w:rsidRPr="00811E8D">
        <w:rPr>
          <w:rFonts w:ascii="Arial" w:hAnsi="Arial" w:cs="Arial"/>
          <w:spacing w:val="0"/>
          <w:position w:val="0"/>
        </w:rPr>
        <w:t>.</w:t>
      </w:r>
    </w:p>
    <w:p w14:paraId="2B749E51" w14:textId="77777777" w:rsidR="0004247F" w:rsidRPr="00811E8D" w:rsidRDefault="0004247F" w:rsidP="00471E6B">
      <w:pPr>
        <w:shd w:val="clear" w:color="auto" w:fill="FFFFFF"/>
        <w:spacing w:line="360" w:lineRule="auto"/>
        <w:ind w:firstLine="709"/>
        <w:contextualSpacing/>
        <w:jc w:val="both"/>
        <w:rPr>
          <w:rFonts w:ascii="Arial" w:hAnsi="Arial" w:cs="Arial"/>
          <w:spacing w:val="0"/>
          <w:position w:val="0"/>
        </w:rPr>
      </w:pPr>
    </w:p>
    <w:p w14:paraId="72BF3D47" w14:textId="3A031C7C" w:rsidR="00804AE1" w:rsidRPr="00811E8D" w:rsidRDefault="00804AE1" w:rsidP="00471E6B">
      <w:pPr>
        <w:shd w:val="clear" w:color="auto" w:fill="FFFFFF"/>
        <w:spacing w:line="360" w:lineRule="auto"/>
        <w:contextualSpacing/>
        <w:jc w:val="both"/>
        <w:rPr>
          <w:rFonts w:ascii="Arial" w:hAnsi="Arial" w:cs="Arial"/>
          <w:b/>
          <w:bCs/>
          <w:spacing w:val="0"/>
          <w:position w:val="0"/>
        </w:rPr>
      </w:pPr>
      <w:r w:rsidRPr="00811E8D">
        <w:rPr>
          <w:rFonts w:ascii="Arial" w:hAnsi="Arial" w:cs="Arial"/>
          <w:b/>
          <w:bCs/>
          <w:spacing w:val="0"/>
          <w:position w:val="0"/>
        </w:rPr>
        <w:t xml:space="preserve">Resultados e </w:t>
      </w:r>
      <w:r w:rsidR="00B43312" w:rsidRPr="00811E8D">
        <w:rPr>
          <w:rFonts w:ascii="Arial" w:hAnsi="Arial" w:cs="Arial"/>
          <w:b/>
          <w:bCs/>
          <w:spacing w:val="0"/>
          <w:position w:val="0"/>
        </w:rPr>
        <w:t>d</w:t>
      </w:r>
      <w:r w:rsidRPr="00811E8D">
        <w:rPr>
          <w:rFonts w:ascii="Arial" w:hAnsi="Arial" w:cs="Arial"/>
          <w:b/>
          <w:bCs/>
          <w:spacing w:val="0"/>
          <w:position w:val="0"/>
        </w:rPr>
        <w:t>iscussão</w:t>
      </w:r>
    </w:p>
    <w:p w14:paraId="5D07D971" w14:textId="77777777" w:rsidR="00057832" w:rsidRPr="00811E8D" w:rsidRDefault="00057832" w:rsidP="00471E6B">
      <w:pPr>
        <w:shd w:val="clear" w:color="auto" w:fill="FFFFFF"/>
        <w:spacing w:line="360" w:lineRule="auto"/>
        <w:contextualSpacing/>
        <w:jc w:val="both"/>
        <w:rPr>
          <w:rFonts w:ascii="Arial" w:hAnsi="Arial" w:cs="Arial"/>
          <w:b/>
          <w:bCs/>
          <w:spacing w:val="0"/>
          <w:position w:val="0"/>
        </w:rPr>
      </w:pPr>
    </w:p>
    <w:p w14:paraId="155F39A8" w14:textId="5E443D18" w:rsidR="005E486C" w:rsidRDefault="005E486C" w:rsidP="005E486C">
      <w:pPr>
        <w:shd w:val="clear" w:color="auto" w:fill="FFFFFF"/>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É possível observar </w:t>
      </w:r>
      <w:r>
        <w:rPr>
          <w:rFonts w:ascii="Arial" w:hAnsi="Arial" w:cs="Arial"/>
          <w:spacing w:val="0"/>
          <w:position w:val="0"/>
        </w:rPr>
        <w:t xml:space="preserve">(Figura 2) </w:t>
      </w:r>
      <w:r w:rsidRPr="00811E8D">
        <w:rPr>
          <w:rFonts w:ascii="Arial" w:hAnsi="Arial" w:cs="Arial"/>
          <w:spacing w:val="0"/>
          <w:position w:val="0"/>
        </w:rPr>
        <w:t>que dentre as doenças ocupacionais listadas na CID-10, os distúrbios osteomusculares (Cap. XIII) são as principais ocorrências, constituindo aproximadamente 70% do total de casos registrados no período de 2003 a 2017 no Estado de São Paulo.</w:t>
      </w:r>
      <w:r>
        <w:rPr>
          <w:rFonts w:ascii="Arial" w:hAnsi="Arial" w:cs="Arial"/>
          <w:spacing w:val="0"/>
          <w:position w:val="0"/>
        </w:rPr>
        <w:t xml:space="preserve"> </w:t>
      </w:r>
      <w:r w:rsidRPr="004F5A8C">
        <w:rPr>
          <w:rFonts w:ascii="Arial" w:hAnsi="Arial" w:cs="Arial"/>
          <w:spacing w:val="0"/>
          <w:position w:val="0"/>
        </w:rPr>
        <w:t xml:space="preserve">O número de casos de </w:t>
      </w:r>
      <w:r>
        <w:rPr>
          <w:rFonts w:ascii="Arial" w:hAnsi="Arial" w:cs="Arial"/>
          <w:spacing w:val="0"/>
          <w:position w:val="0"/>
        </w:rPr>
        <w:t>DORT</w:t>
      </w:r>
      <w:r w:rsidRPr="004F5A8C">
        <w:rPr>
          <w:rFonts w:ascii="Arial" w:hAnsi="Arial" w:cs="Arial"/>
          <w:spacing w:val="0"/>
          <w:position w:val="0"/>
        </w:rPr>
        <w:t xml:space="preserve"> no Estado de São Paulo é reflexo da quantidade de acidentes do trabalho registrados. </w:t>
      </w:r>
    </w:p>
    <w:p w14:paraId="33EC3292" w14:textId="0133B222" w:rsidR="005E486C" w:rsidRDefault="005E486C" w:rsidP="005E486C">
      <w:pPr>
        <w:shd w:val="clear" w:color="auto" w:fill="FFFFFF"/>
        <w:spacing w:line="360" w:lineRule="auto"/>
        <w:ind w:firstLine="709"/>
        <w:contextualSpacing/>
        <w:jc w:val="both"/>
        <w:rPr>
          <w:rFonts w:ascii="Arial" w:hAnsi="Arial" w:cs="Arial"/>
          <w:b/>
          <w:bCs/>
          <w:spacing w:val="0"/>
          <w:position w:val="0"/>
        </w:rPr>
      </w:pPr>
      <w:r>
        <w:rPr>
          <w:rFonts w:ascii="Arial" w:hAnsi="Arial" w:cs="Arial"/>
          <w:b/>
          <w:bCs/>
          <w:spacing w:val="0"/>
          <w:position w:val="0"/>
        </w:rPr>
        <w:br w:type="page"/>
      </w:r>
    </w:p>
    <w:p w14:paraId="07E61E85" w14:textId="71D92EFA" w:rsidR="004F5A8C" w:rsidRPr="004F5A8C" w:rsidRDefault="004F5A8C" w:rsidP="004F5A8C">
      <w:pPr>
        <w:shd w:val="clear" w:color="auto" w:fill="FFFFFF"/>
        <w:rPr>
          <w:rFonts w:ascii="Arial" w:hAnsi="Arial" w:cs="Arial"/>
          <w:b/>
          <w:bCs/>
          <w:spacing w:val="0"/>
          <w:position w:val="0"/>
        </w:rPr>
      </w:pPr>
      <w:r w:rsidRPr="004F5A8C">
        <w:rPr>
          <w:rFonts w:ascii="Arial" w:hAnsi="Arial" w:cs="Arial"/>
          <w:b/>
          <w:bCs/>
          <w:spacing w:val="0"/>
          <w:position w:val="0"/>
        </w:rPr>
        <w:lastRenderedPageBreak/>
        <w:t>Figura 2</w:t>
      </w:r>
      <w:r>
        <w:rPr>
          <w:rFonts w:ascii="Arial" w:hAnsi="Arial" w:cs="Arial"/>
          <w:b/>
          <w:bCs/>
          <w:spacing w:val="0"/>
          <w:position w:val="0"/>
        </w:rPr>
        <w:t>:</w:t>
      </w:r>
      <w:r w:rsidRPr="004F5A8C">
        <w:rPr>
          <w:rFonts w:ascii="Arial" w:hAnsi="Arial" w:cs="Arial"/>
          <w:b/>
          <w:bCs/>
          <w:spacing w:val="0"/>
          <w:position w:val="0"/>
        </w:rPr>
        <w:t xml:space="preserve"> Registro anual de doenças ocupacionais com CAT no Estado de São Paulo, no período de 2003 a 2017.</w:t>
      </w:r>
    </w:p>
    <w:p w14:paraId="405464B3" w14:textId="0CB9E2E8" w:rsidR="000C18BF" w:rsidRPr="00811E8D" w:rsidRDefault="00EA496A" w:rsidP="00AD2E13">
      <w:pPr>
        <w:shd w:val="clear" w:color="auto" w:fill="FFFFFF"/>
        <w:jc w:val="center"/>
        <w:rPr>
          <w:rFonts w:ascii="Arial" w:hAnsi="Arial" w:cs="Arial"/>
          <w:color w:val="FF0000"/>
          <w:spacing w:val="0"/>
          <w:position w:val="0"/>
        </w:rPr>
      </w:pPr>
      <w:r w:rsidRPr="00811E8D">
        <w:rPr>
          <w:rFonts w:ascii="Arial" w:hAnsi="Arial" w:cs="Arial"/>
          <w:noProof/>
        </w:rPr>
        <w:drawing>
          <wp:inline distT="0" distB="0" distL="0" distR="0" wp14:anchorId="5242A610" wp14:editId="542D93A8">
            <wp:extent cx="5400000" cy="3240000"/>
            <wp:effectExtent l="0" t="0" r="0" b="0"/>
            <wp:docPr id="11" name="Gráfico 11">
              <a:extLst xmlns:a="http://schemas.openxmlformats.org/drawingml/2006/main">
                <a:ext uri="{FF2B5EF4-FFF2-40B4-BE49-F238E27FC236}">
                  <a16:creationId xmlns:a16="http://schemas.microsoft.com/office/drawing/2014/main" id="{F092EF3E-E6FB-493E-8943-1B8EF28E4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0C7C14" w14:textId="075CC75C" w:rsidR="000C18BF" w:rsidRDefault="000C18BF" w:rsidP="004F5A8C">
      <w:pPr>
        <w:shd w:val="clear" w:color="auto" w:fill="FFFFFF"/>
        <w:rPr>
          <w:rFonts w:ascii="Arial" w:hAnsi="Arial" w:cs="Arial"/>
          <w:spacing w:val="0"/>
          <w:position w:val="0"/>
        </w:rPr>
      </w:pPr>
      <w:r w:rsidRPr="00811E8D">
        <w:rPr>
          <w:rFonts w:ascii="Arial" w:hAnsi="Arial" w:cs="Arial"/>
          <w:spacing w:val="0"/>
          <w:position w:val="0"/>
        </w:rPr>
        <w:t>Fonte:</w:t>
      </w:r>
      <w:r w:rsidR="00BC0693" w:rsidRPr="00811E8D">
        <w:rPr>
          <w:rFonts w:ascii="Arial" w:hAnsi="Arial" w:cs="Arial"/>
          <w:spacing w:val="0"/>
          <w:position w:val="0"/>
        </w:rPr>
        <w:t xml:space="preserve"> Dados da pesquisa.</w:t>
      </w:r>
    </w:p>
    <w:p w14:paraId="0D58D05E" w14:textId="77777777" w:rsidR="005E486C" w:rsidRPr="00811E8D" w:rsidRDefault="005E486C" w:rsidP="005E486C">
      <w:pPr>
        <w:shd w:val="clear" w:color="auto" w:fill="FFFFFF"/>
        <w:spacing w:line="360" w:lineRule="auto"/>
        <w:contextualSpacing/>
        <w:rPr>
          <w:rFonts w:ascii="Arial" w:hAnsi="Arial" w:cs="Arial"/>
          <w:spacing w:val="0"/>
          <w:position w:val="0"/>
        </w:rPr>
      </w:pPr>
    </w:p>
    <w:p w14:paraId="7EE6DD3E" w14:textId="7AE8A7B1" w:rsidR="00657BF1" w:rsidRPr="00811E8D" w:rsidRDefault="00657BF1" w:rsidP="005E486C">
      <w:pPr>
        <w:shd w:val="clear" w:color="auto" w:fill="FFFFFF"/>
        <w:spacing w:line="360" w:lineRule="auto"/>
        <w:ind w:firstLine="709"/>
        <w:contextualSpacing/>
        <w:jc w:val="both"/>
        <w:rPr>
          <w:rFonts w:ascii="Arial" w:hAnsi="Arial" w:cs="Arial"/>
          <w:spacing w:val="0"/>
          <w:position w:val="0"/>
        </w:rPr>
      </w:pPr>
      <w:r w:rsidRPr="00811E8D">
        <w:rPr>
          <w:rFonts w:ascii="Arial" w:hAnsi="Arial" w:cs="Arial"/>
          <w:spacing w:val="0"/>
          <w:position w:val="0"/>
        </w:rPr>
        <w:t>Esses distúrbios prevalecem como um dos principais agravos na segurança do trabalho.</w:t>
      </w:r>
    </w:p>
    <w:p w14:paraId="00F847E6" w14:textId="32DE1057" w:rsidR="009021A2" w:rsidRPr="004F5A8C" w:rsidRDefault="005D2985" w:rsidP="008D473A">
      <w:pPr>
        <w:spacing w:line="360" w:lineRule="auto"/>
        <w:ind w:firstLine="709"/>
        <w:contextualSpacing/>
        <w:jc w:val="both"/>
        <w:rPr>
          <w:rFonts w:ascii="Arial" w:hAnsi="Arial" w:cs="Arial"/>
          <w:spacing w:val="0"/>
          <w:position w:val="0"/>
        </w:rPr>
      </w:pPr>
      <w:r w:rsidRPr="004F5A8C">
        <w:rPr>
          <w:rFonts w:ascii="Arial" w:hAnsi="Arial" w:cs="Arial"/>
          <w:spacing w:val="0"/>
          <w:position w:val="0"/>
        </w:rPr>
        <w:t>Dentre os registros analisados (</w:t>
      </w:r>
      <w:r w:rsidR="009021A2" w:rsidRPr="004F5A8C">
        <w:rPr>
          <w:rFonts w:ascii="Arial" w:hAnsi="Arial" w:cs="Arial"/>
          <w:spacing w:val="0"/>
          <w:position w:val="0"/>
        </w:rPr>
        <w:t>Tabela 1</w:t>
      </w:r>
      <w:r w:rsidRPr="004F5A8C">
        <w:rPr>
          <w:rFonts w:ascii="Arial" w:hAnsi="Arial" w:cs="Arial"/>
          <w:spacing w:val="0"/>
          <w:position w:val="0"/>
        </w:rPr>
        <w:t xml:space="preserve">), </w:t>
      </w:r>
      <w:r w:rsidR="00B93316" w:rsidRPr="004F5A8C">
        <w:rPr>
          <w:rFonts w:ascii="Arial" w:hAnsi="Arial" w:cs="Arial"/>
          <w:spacing w:val="0"/>
          <w:position w:val="0"/>
        </w:rPr>
        <w:t xml:space="preserve">aproximadamente 70% </w:t>
      </w:r>
      <w:r w:rsidR="00D5316E" w:rsidRPr="004F5A8C">
        <w:rPr>
          <w:rFonts w:ascii="Arial" w:hAnsi="Arial" w:cs="Arial"/>
          <w:spacing w:val="0"/>
          <w:position w:val="0"/>
        </w:rPr>
        <w:t>estão concentrados</w:t>
      </w:r>
      <w:r w:rsidR="00B93316" w:rsidRPr="004F5A8C">
        <w:rPr>
          <w:rFonts w:ascii="Arial" w:hAnsi="Arial" w:cs="Arial"/>
          <w:spacing w:val="0"/>
          <w:position w:val="0"/>
        </w:rPr>
        <w:t xml:space="preserve"> entre três tipos de afecções. </w:t>
      </w:r>
    </w:p>
    <w:p w14:paraId="4FEAF6DB" w14:textId="77777777" w:rsidR="009021A2" w:rsidRPr="00811E8D" w:rsidRDefault="009021A2" w:rsidP="008D473A">
      <w:pPr>
        <w:ind w:firstLine="709"/>
        <w:rPr>
          <w:rFonts w:ascii="Arial" w:hAnsi="Arial" w:cs="Arial"/>
          <w:spacing w:val="0"/>
          <w:position w:val="0"/>
        </w:rPr>
      </w:pPr>
    </w:p>
    <w:p w14:paraId="040D0129" w14:textId="5B22BAF0" w:rsidR="009021A2" w:rsidRPr="004F5A8C" w:rsidRDefault="009021A2" w:rsidP="004F5A8C">
      <w:pPr>
        <w:shd w:val="clear" w:color="auto" w:fill="FFFFFF"/>
        <w:rPr>
          <w:rFonts w:ascii="Arial" w:hAnsi="Arial" w:cs="Arial"/>
          <w:b/>
          <w:bCs/>
          <w:spacing w:val="0"/>
          <w:position w:val="0"/>
        </w:rPr>
      </w:pPr>
      <w:r w:rsidRPr="004F5A8C">
        <w:rPr>
          <w:rFonts w:ascii="Arial" w:hAnsi="Arial" w:cs="Arial"/>
          <w:b/>
          <w:bCs/>
          <w:color w:val="000000"/>
          <w:spacing w:val="0"/>
          <w:position w:val="0"/>
        </w:rPr>
        <w:t>Tabela 1</w:t>
      </w:r>
      <w:r w:rsidR="004F5A8C">
        <w:rPr>
          <w:rFonts w:ascii="Arial" w:hAnsi="Arial" w:cs="Arial"/>
          <w:b/>
          <w:bCs/>
          <w:color w:val="000000"/>
          <w:spacing w:val="0"/>
          <w:position w:val="0"/>
        </w:rPr>
        <w:t xml:space="preserve">: </w:t>
      </w:r>
      <w:r w:rsidRPr="004F5A8C">
        <w:rPr>
          <w:rFonts w:ascii="Arial" w:hAnsi="Arial" w:cs="Arial"/>
          <w:b/>
          <w:bCs/>
          <w:color w:val="000000"/>
          <w:spacing w:val="0"/>
          <w:position w:val="0"/>
        </w:rPr>
        <w:t>Principais distúrbios osteomusculares no Estado de São Paulo de 2003 a 2017.</w:t>
      </w:r>
    </w:p>
    <w:tbl>
      <w:tblPr>
        <w:tblW w:w="5000" w:type="pct"/>
        <w:jc w:val="center"/>
        <w:tblLayout w:type="fixed"/>
        <w:tblCellMar>
          <w:left w:w="70" w:type="dxa"/>
          <w:right w:w="70" w:type="dxa"/>
        </w:tblCellMar>
        <w:tblLook w:val="04A0" w:firstRow="1" w:lastRow="0" w:firstColumn="1" w:lastColumn="0" w:noHBand="0" w:noVBand="1"/>
      </w:tblPr>
      <w:tblGrid>
        <w:gridCol w:w="5739"/>
        <w:gridCol w:w="800"/>
        <w:gridCol w:w="535"/>
        <w:gridCol w:w="934"/>
        <w:gridCol w:w="216"/>
        <w:gridCol w:w="847"/>
      </w:tblGrid>
      <w:tr w:rsidR="00043C4E" w:rsidRPr="00EE3DEB" w14:paraId="574B007A" w14:textId="77777777" w:rsidTr="00EF7F19">
        <w:trPr>
          <w:trHeight w:hRule="exact" w:val="395"/>
          <w:jc w:val="center"/>
        </w:trPr>
        <w:tc>
          <w:tcPr>
            <w:tcW w:w="3162" w:type="pct"/>
            <w:tcBorders>
              <w:top w:val="single" w:sz="4" w:space="0" w:color="auto"/>
              <w:bottom w:val="single" w:sz="4" w:space="0" w:color="auto"/>
            </w:tcBorders>
            <w:shd w:val="clear" w:color="000000" w:fill="FFFFFF"/>
            <w:noWrap/>
            <w:vAlign w:val="center"/>
            <w:hideMark/>
          </w:tcPr>
          <w:p w14:paraId="01F2396C"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Distúrbio</w:t>
            </w:r>
          </w:p>
        </w:tc>
        <w:tc>
          <w:tcPr>
            <w:tcW w:w="441" w:type="pct"/>
            <w:tcBorders>
              <w:top w:val="single" w:sz="4" w:space="0" w:color="auto"/>
              <w:bottom w:val="single" w:sz="4" w:space="0" w:color="auto"/>
            </w:tcBorders>
            <w:shd w:val="clear" w:color="000000" w:fill="FFFFFF"/>
            <w:noWrap/>
            <w:vAlign w:val="center"/>
            <w:hideMark/>
          </w:tcPr>
          <w:p w14:paraId="44918833"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Total</w:t>
            </w:r>
          </w:p>
        </w:tc>
        <w:tc>
          <w:tcPr>
            <w:tcW w:w="295" w:type="pct"/>
            <w:tcBorders>
              <w:top w:val="single" w:sz="4" w:space="0" w:color="auto"/>
              <w:bottom w:val="single" w:sz="4" w:space="0" w:color="auto"/>
            </w:tcBorders>
            <w:shd w:val="clear" w:color="000000" w:fill="FFFFFF"/>
            <w:noWrap/>
            <w:vAlign w:val="center"/>
            <w:hideMark/>
          </w:tcPr>
          <w:p w14:paraId="1E22ED90"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1101" w:type="pct"/>
            <w:gridSpan w:val="3"/>
            <w:tcBorders>
              <w:top w:val="single" w:sz="4" w:space="0" w:color="auto"/>
              <w:bottom w:val="single" w:sz="4" w:space="0" w:color="auto"/>
            </w:tcBorders>
            <w:shd w:val="clear" w:color="000000" w:fill="FFFFFF"/>
            <w:noWrap/>
            <w:vAlign w:val="center"/>
            <w:hideMark/>
          </w:tcPr>
          <w:p w14:paraId="3D00806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Média*</w:t>
            </w:r>
          </w:p>
        </w:tc>
      </w:tr>
      <w:tr w:rsidR="00763C1C" w:rsidRPr="00EE3DEB" w14:paraId="45EC4432" w14:textId="77777777" w:rsidTr="00763C1C">
        <w:trPr>
          <w:trHeight w:hRule="exact" w:val="284"/>
          <w:jc w:val="center"/>
        </w:trPr>
        <w:tc>
          <w:tcPr>
            <w:tcW w:w="3162" w:type="pct"/>
            <w:tcBorders>
              <w:top w:val="single" w:sz="4" w:space="0" w:color="auto"/>
            </w:tcBorders>
            <w:shd w:val="clear" w:color="auto" w:fill="F2F2F2" w:themeFill="background1" w:themeFillShade="F2"/>
            <w:noWrap/>
            <w:vAlign w:val="bottom"/>
            <w:hideMark/>
          </w:tcPr>
          <w:p w14:paraId="735E3B55"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Lesões do ombro</w:t>
            </w:r>
          </w:p>
        </w:tc>
        <w:tc>
          <w:tcPr>
            <w:tcW w:w="441" w:type="pct"/>
            <w:tcBorders>
              <w:top w:val="single" w:sz="4" w:space="0" w:color="auto"/>
            </w:tcBorders>
            <w:shd w:val="clear" w:color="auto" w:fill="F2F2F2" w:themeFill="background1" w:themeFillShade="F2"/>
            <w:noWrap/>
            <w:vAlign w:val="center"/>
            <w:hideMark/>
          </w:tcPr>
          <w:p w14:paraId="0117251E"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25.862</w:t>
            </w:r>
          </w:p>
        </w:tc>
        <w:tc>
          <w:tcPr>
            <w:tcW w:w="295" w:type="pct"/>
            <w:tcBorders>
              <w:top w:val="single" w:sz="4" w:space="0" w:color="auto"/>
            </w:tcBorders>
            <w:shd w:val="clear" w:color="auto" w:fill="F2F2F2" w:themeFill="background1" w:themeFillShade="F2"/>
            <w:noWrap/>
            <w:vAlign w:val="center"/>
            <w:hideMark/>
          </w:tcPr>
          <w:p w14:paraId="6FF79F7A" w14:textId="0BA72FDD"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33,33</w:t>
            </w:r>
          </w:p>
        </w:tc>
        <w:tc>
          <w:tcPr>
            <w:tcW w:w="515" w:type="pct"/>
            <w:tcBorders>
              <w:top w:val="single" w:sz="4" w:space="0" w:color="auto"/>
            </w:tcBorders>
            <w:shd w:val="clear" w:color="auto" w:fill="F2F2F2" w:themeFill="background1" w:themeFillShade="F2"/>
            <w:noWrap/>
            <w:vAlign w:val="center"/>
            <w:hideMark/>
          </w:tcPr>
          <w:p w14:paraId="09ADF247"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1.724,13</w:t>
            </w:r>
          </w:p>
        </w:tc>
        <w:tc>
          <w:tcPr>
            <w:tcW w:w="119" w:type="pct"/>
            <w:tcBorders>
              <w:top w:val="single" w:sz="4" w:space="0" w:color="auto"/>
            </w:tcBorders>
            <w:shd w:val="clear" w:color="auto" w:fill="F2F2F2" w:themeFill="background1" w:themeFillShade="F2"/>
          </w:tcPr>
          <w:p w14:paraId="71343C78"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tcBorders>
              <w:top w:val="single" w:sz="4" w:space="0" w:color="auto"/>
            </w:tcBorders>
            <w:shd w:val="clear" w:color="auto" w:fill="F2F2F2" w:themeFill="background1" w:themeFillShade="F2"/>
            <w:vAlign w:val="center"/>
          </w:tcPr>
          <w:p w14:paraId="7C00CE03"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422,60</w:t>
            </w:r>
          </w:p>
        </w:tc>
      </w:tr>
      <w:tr w:rsidR="00763C1C" w:rsidRPr="00EE3DEB" w14:paraId="345B26F1" w14:textId="77777777" w:rsidTr="00763C1C">
        <w:trPr>
          <w:trHeight w:hRule="exact" w:val="284"/>
          <w:jc w:val="center"/>
        </w:trPr>
        <w:tc>
          <w:tcPr>
            <w:tcW w:w="3162" w:type="pct"/>
            <w:shd w:val="clear" w:color="000000" w:fill="FFFFFF"/>
            <w:noWrap/>
            <w:vAlign w:val="bottom"/>
            <w:hideMark/>
          </w:tcPr>
          <w:p w14:paraId="14011CCA"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Sinovite e tenossinovite</w:t>
            </w:r>
          </w:p>
        </w:tc>
        <w:tc>
          <w:tcPr>
            <w:tcW w:w="441" w:type="pct"/>
            <w:shd w:val="clear" w:color="000000" w:fill="FFFFFF"/>
            <w:noWrap/>
            <w:vAlign w:val="center"/>
            <w:hideMark/>
          </w:tcPr>
          <w:p w14:paraId="09BA3712"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19.333</w:t>
            </w:r>
          </w:p>
        </w:tc>
        <w:tc>
          <w:tcPr>
            <w:tcW w:w="295" w:type="pct"/>
            <w:shd w:val="clear" w:color="000000" w:fill="FFFFFF"/>
            <w:noWrap/>
            <w:vAlign w:val="center"/>
            <w:hideMark/>
          </w:tcPr>
          <w:p w14:paraId="47DF5E2B" w14:textId="27E3DC4C"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24,92</w:t>
            </w:r>
          </w:p>
        </w:tc>
        <w:tc>
          <w:tcPr>
            <w:tcW w:w="515" w:type="pct"/>
            <w:shd w:val="clear" w:color="000000" w:fill="FFFFFF"/>
            <w:noWrap/>
            <w:vAlign w:val="center"/>
            <w:hideMark/>
          </w:tcPr>
          <w:p w14:paraId="5F2C6D0A"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1.288,87</w:t>
            </w:r>
          </w:p>
        </w:tc>
        <w:tc>
          <w:tcPr>
            <w:tcW w:w="119" w:type="pct"/>
            <w:shd w:val="clear" w:color="000000" w:fill="FFFFFF"/>
          </w:tcPr>
          <w:p w14:paraId="465FF52B"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000000" w:fill="FFFFFF"/>
            <w:vAlign w:val="center"/>
          </w:tcPr>
          <w:p w14:paraId="6A4D58F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1105,36</w:t>
            </w:r>
          </w:p>
        </w:tc>
      </w:tr>
      <w:tr w:rsidR="00763C1C" w:rsidRPr="00EE3DEB" w14:paraId="6403D120" w14:textId="77777777" w:rsidTr="00763C1C">
        <w:trPr>
          <w:trHeight w:hRule="exact" w:val="284"/>
          <w:jc w:val="center"/>
        </w:trPr>
        <w:tc>
          <w:tcPr>
            <w:tcW w:w="3162" w:type="pct"/>
            <w:shd w:val="clear" w:color="auto" w:fill="F2F2F2" w:themeFill="background1" w:themeFillShade="F2"/>
            <w:noWrap/>
            <w:vAlign w:val="bottom"/>
            <w:hideMark/>
          </w:tcPr>
          <w:p w14:paraId="27F1C744"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Dorsalgia</w:t>
            </w:r>
          </w:p>
        </w:tc>
        <w:tc>
          <w:tcPr>
            <w:tcW w:w="441" w:type="pct"/>
            <w:shd w:val="clear" w:color="auto" w:fill="F2F2F2" w:themeFill="background1" w:themeFillShade="F2"/>
            <w:noWrap/>
            <w:vAlign w:val="center"/>
            <w:hideMark/>
          </w:tcPr>
          <w:p w14:paraId="01763BC5"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8.883</w:t>
            </w:r>
          </w:p>
        </w:tc>
        <w:tc>
          <w:tcPr>
            <w:tcW w:w="295" w:type="pct"/>
            <w:shd w:val="clear" w:color="auto" w:fill="F2F2F2" w:themeFill="background1" w:themeFillShade="F2"/>
            <w:noWrap/>
            <w:vAlign w:val="center"/>
            <w:hideMark/>
          </w:tcPr>
          <w:p w14:paraId="2FDFB3A8" w14:textId="6B870D20"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11,45</w:t>
            </w:r>
          </w:p>
        </w:tc>
        <w:tc>
          <w:tcPr>
            <w:tcW w:w="515" w:type="pct"/>
            <w:shd w:val="clear" w:color="auto" w:fill="F2F2F2" w:themeFill="background1" w:themeFillShade="F2"/>
            <w:noWrap/>
            <w:vAlign w:val="center"/>
            <w:hideMark/>
          </w:tcPr>
          <w:p w14:paraId="33FC0BA0"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592,20</w:t>
            </w:r>
          </w:p>
        </w:tc>
        <w:tc>
          <w:tcPr>
            <w:tcW w:w="119" w:type="pct"/>
            <w:shd w:val="clear" w:color="auto" w:fill="F2F2F2" w:themeFill="background1" w:themeFillShade="F2"/>
          </w:tcPr>
          <w:p w14:paraId="6756C510"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auto" w:fill="F2F2F2" w:themeFill="background1" w:themeFillShade="F2"/>
            <w:vAlign w:val="center"/>
          </w:tcPr>
          <w:p w14:paraId="06D2E765"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239,48</w:t>
            </w:r>
          </w:p>
        </w:tc>
      </w:tr>
      <w:tr w:rsidR="00763C1C" w:rsidRPr="00EE3DEB" w14:paraId="1C021A94" w14:textId="77777777" w:rsidTr="00763C1C">
        <w:trPr>
          <w:trHeight w:hRule="exact" w:val="284"/>
          <w:jc w:val="center"/>
        </w:trPr>
        <w:tc>
          <w:tcPr>
            <w:tcW w:w="3162" w:type="pct"/>
            <w:shd w:val="clear" w:color="000000" w:fill="FFFFFF"/>
            <w:noWrap/>
            <w:vAlign w:val="bottom"/>
            <w:hideMark/>
          </w:tcPr>
          <w:p w14:paraId="017AA4C0"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Outros transtornos de discos intervertebrais</w:t>
            </w:r>
          </w:p>
        </w:tc>
        <w:tc>
          <w:tcPr>
            <w:tcW w:w="441" w:type="pct"/>
            <w:shd w:val="clear" w:color="000000" w:fill="FFFFFF"/>
            <w:noWrap/>
            <w:vAlign w:val="center"/>
            <w:hideMark/>
          </w:tcPr>
          <w:p w14:paraId="590F1158"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7.670</w:t>
            </w:r>
          </w:p>
        </w:tc>
        <w:tc>
          <w:tcPr>
            <w:tcW w:w="295" w:type="pct"/>
            <w:shd w:val="clear" w:color="000000" w:fill="FFFFFF"/>
            <w:noWrap/>
            <w:vAlign w:val="center"/>
            <w:hideMark/>
          </w:tcPr>
          <w:p w14:paraId="321954A2" w14:textId="370F6356"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9,88</w:t>
            </w:r>
          </w:p>
        </w:tc>
        <w:tc>
          <w:tcPr>
            <w:tcW w:w="515" w:type="pct"/>
            <w:shd w:val="clear" w:color="000000" w:fill="FFFFFF"/>
            <w:noWrap/>
            <w:vAlign w:val="center"/>
            <w:hideMark/>
          </w:tcPr>
          <w:p w14:paraId="10D08CDE"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511,33</w:t>
            </w:r>
          </w:p>
        </w:tc>
        <w:tc>
          <w:tcPr>
            <w:tcW w:w="119" w:type="pct"/>
            <w:shd w:val="clear" w:color="000000" w:fill="FFFFFF"/>
          </w:tcPr>
          <w:p w14:paraId="2BB8D51A"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000000" w:fill="FFFFFF"/>
            <w:vAlign w:val="center"/>
          </w:tcPr>
          <w:p w14:paraId="6CD3FF9D"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125,12</w:t>
            </w:r>
          </w:p>
        </w:tc>
      </w:tr>
      <w:tr w:rsidR="00763C1C" w:rsidRPr="00EE3DEB" w14:paraId="6303CACA" w14:textId="77777777" w:rsidTr="00763C1C">
        <w:trPr>
          <w:trHeight w:hRule="exact" w:val="284"/>
          <w:jc w:val="center"/>
        </w:trPr>
        <w:tc>
          <w:tcPr>
            <w:tcW w:w="3162" w:type="pct"/>
            <w:shd w:val="clear" w:color="auto" w:fill="F2F2F2" w:themeFill="background1" w:themeFillShade="F2"/>
            <w:noWrap/>
            <w:vAlign w:val="bottom"/>
            <w:hideMark/>
          </w:tcPr>
          <w:p w14:paraId="17C27304"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 xml:space="preserve">Outras </w:t>
            </w:r>
            <w:proofErr w:type="spellStart"/>
            <w:r w:rsidRPr="00EE3DEB">
              <w:rPr>
                <w:rFonts w:ascii="Arial" w:hAnsi="Arial" w:cs="Arial"/>
                <w:color w:val="000000"/>
                <w:spacing w:val="0"/>
                <w:position w:val="0"/>
                <w:sz w:val="22"/>
                <w:szCs w:val="22"/>
              </w:rPr>
              <w:t>entesopatias</w:t>
            </w:r>
            <w:proofErr w:type="spellEnd"/>
          </w:p>
        </w:tc>
        <w:tc>
          <w:tcPr>
            <w:tcW w:w="441" w:type="pct"/>
            <w:shd w:val="clear" w:color="auto" w:fill="F2F2F2" w:themeFill="background1" w:themeFillShade="F2"/>
            <w:noWrap/>
            <w:vAlign w:val="center"/>
            <w:hideMark/>
          </w:tcPr>
          <w:p w14:paraId="19C30C5D"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5.347</w:t>
            </w:r>
          </w:p>
        </w:tc>
        <w:tc>
          <w:tcPr>
            <w:tcW w:w="295" w:type="pct"/>
            <w:shd w:val="clear" w:color="auto" w:fill="F2F2F2" w:themeFill="background1" w:themeFillShade="F2"/>
            <w:noWrap/>
            <w:vAlign w:val="center"/>
            <w:hideMark/>
          </w:tcPr>
          <w:p w14:paraId="6ABE1031" w14:textId="6462A47F"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6,89</w:t>
            </w:r>
          </w:p>
        </w:tc>
        <w:tc>
          <w:tcPr>
            <w:tcW w:w="515" w:type="pct"/>
            <w:shd w:val="clear" w:color="auto" w:fill="F2F2F2" w:themeFill="background1" w:themeFillShade="F2"/>
            <w:noWrap/>
            <w:vAlign w:val="center"/>
            <w:hideMark/>
          </w:tcPr>
          <w:p w14:paraId="188021C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356,47</w:t>
            </w:r>
          </w:p>
        </w:tc>
        <w:tc>
          <w:tcPr>
            <w:tcW w:w="119" w:type="pct"/>
            <w:shd w:val="clear" w:color="auto" w:fill="F2F2F2" w:themeFill="background1" w:themeFillShade="F2"/>
          </w:tcPr>
          <w:p w14:paraId="069CEAC6"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auto" w:fill="F2F2F2" w:themeFill="background1" w:themeFillShade="F2"/>
            <w:vAlign w:val="center"/>
          </w:tcPr>
          <w:p w14:paraId="4CE75DBC"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186,49</w:t>
            </w:r>
          </w:p>
        </w:tc>
      </w:tr>
      <w:tr w:rsidR="00763C1C" w:rsidRPr="00EE3DEB" w14:paraId="511ECABC" w14:textId="77777777" w:rsidTr="00763C1C">
        <w:trPr>
          <w:trHeight w:hRule="exact" w:val="284"/>
          <w:jc w:val="center"/>
        </w:trPr>
        <w:tc>
          <w:tcPr>
            <w:tcW w:w="3162" w:type="pct"/>
            <w:shd w:val="clear" w:color="000000" w:fill="FFFFFF"/>
            <w:noWrap/>
            <w:vAlign w:val="bottom"/>
            <w:hideMark/>
          </w:tcPr>
          <w:p w14:paraId="23878AE4"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 xml:space="preserve">Transtornos dos tecidos moles relacionado ao uso excessivo </w:t>
            </w:r>
          </w:p>
        </w:tc>
        <w:tc>
          <w:tcPr>
            <w:tcW w:w="441" w:type="pct"/>
            <w:shd w:val="clear" w:color="000000" w:fill="FFFFFF"/>
            <w:noWrap/>
            <w:vAlign w:val="center"/>
            <w:hideMark/>
          </w:tcPr>
          <w:p w14:paraId="21E808B3"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2.757</w:t>
            </w:r>
          </w:p>
        </w:tc>
        <w:tc>
          <w:tcPr>
            <w:tcW w:w="295" w:type="pct"/>
            <w:shd w:val="clear" w:color="000000" w:fill="FFFFFF"/>
            <w:noWrap/>
            <w:vAlign w:val="center"/>
            <w:hideMark/>
          </w:tcPr>
          <w:p w14:paraId="5DA27386" w14:textId="374D7634"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3,55</w:t>
            </w:r>
          </w:p>
        </w:tc>
        <w:tc>
          <w:tcPr>
            <w:tcW w:w="515" w:type="pct"/>
            <w:shd w:val="clear" w:color="000000" w:fill="FFFFFF"/>
            <w:noWrap/>
            <w:vAlign w:val="center"/>
            <w:hideMark/>
          </w:tcPr>
          <w:p w14:paraId="3C36B3DF"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183,80</w:t>
            </w:r>
          </w:p>
        </w:tc>
        <w:tc>
          <w:tcPr>
            <w:tcW w:w="119" w:type="pct"/>
            <w:shd w:val="clear" w:color="000000" w:fill="FFFFFF"/>
          </w:tcPr>
          <w:p w14:paraId="199F43D6"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000000" w:fill="FFFFFF"/>
            <w:vAlign w:val="center"/>
          </w:tcPr>
          <w:p w14:paraId="0DFA29B5"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179,57</w:t>
            </w:r>
          </w:p>
        </w:tc>
      </w:tr>
      <w:tr w:rsidR="00763C1C" w:rsidRPr="00EE3DEB" w14:paraId="78EF5740" w14:textId="77777777" w:rsidTr="00763C1C">
        <w:trPr>
          <w:trHeight w:hRule="exact" w:val="284"/>
          <w:jc w:val="center"/>
        </w:trPr>
        <w:tc>
          <w:tcPr>
            <w:tcW w:w="3162" w:type="pct"/>
            <w:shd w:val="clear" w:color="auto" w:fill="F2F2F2" w:themeFill="background1" w:themeFillShade="F2"/>
            <w:noWrap/>
            <w:vAlign w:val="bottom"/>
            <w:hideMark/>
          </w:tcPr>
          <w:p w14:paraId="2554812A"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Transtornos dos discos cervicais</w:t>
            </w:r>
          </w:p>
        </w:tc>
        <w:tc>
          <w:tcPr>
            <w:tcW w:w="441" w:type="pct"/>
            <w:shd w:val="clear" w:color="auto" w:fill="F2F2F2" w:themeFill="background1" w:themeFillShade="F2"/>
            <w:noWrap/>
            <w:vAlign w:val="center"/>
            <w:hideMark/>
          </w:tcPr>
          <w:p w14:paraId="35EBED31"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1.319</w:t>
            </w:r>
          </w:p>
        </w:tc>
        <w:tc>
          <w:tcPr>
            <w:tcW w:w="295" w:type="pct"/>
            <w:shd w:val="clear" w:color="auto" w:fill="F2F2F2" w:themeFill="background1" w:themeFillShade="F2"/>
            <w:noWrap/>
            <w:vAlign w:val="center"/>
            <w:hideMark/>
          </w:tcPr>
          <w:p w14:paraId="36F74ED6" w14:textId="31BC691B"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1,70</w:t>
            </w:r>
          </w:p>
        </w:tc>
        <w:tc>
          <w:tcPr>
            <w:tcW w:w="515" w:type="pct"/>
            <w:shd w:val="clear" w:color="auto" w:fill="F2F2F2" w:themeFill="background1" w:themeFillShade="F2"/>
            <w:noWrap/>
            <w:vAlign w:val="center"/>
            <w:hideMark/>
          </w:tcPr>
          <w:p w14:paraId="48984002"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87,93</w:t>
            </w:r>
          </w:p>
        </w:tc>
        <w:tc>
          <w:tcPr>
            <w:tcW w:w="119" w:type="pct"/>
            <w:shd w:val="clear" w:color="auto" w:fill="F2F2F2" w:themeFill="background1" w:themeFillShade="F2"/>
          </w:tcPr>
          <w:p w14:paraId="13DC6585"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auto" w:fill="F2F2F2" w:themeFill="background1" w:themeFillShade="F2"/>
            <w:vAlign w:val="center"/>
          </w:tcPr>
          <w:p w14:paraId="092F5C2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19,79</w:t>
            </w:r>
          </w:p>
        </w:tc>
      </w:tr>
      <w:tr w:rsidR="00763C1C" w:rsidRPr="00EE3DEB" w14:paraId="7664D8B5" w14:textId="77777777" w:rsidTr="00763C1C">
        <w:trPr>
          <w:trHeight w:hRule="exact" w:val="284"/>
          <w:jc w:val="center"/>
        </w:trPr>
        <w:tc>
          <w:tcPr>
            <w:tcW w:w="3162" w:type="pct"/>
            <w:shd w:val="clear" w:color="000000" w:fill="FFFFFF"/>
            <w:noWrap/>
            <w:vAlign w:val="bottom"/>
            <w:hideMark/>
          </w:tcPr>
          <w:p w14:paraId="10F32199"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 xml:space="preserve">Outros transtornos dos tecidos moles </w:t>
            </w:r>
          </w:p>
        </w:tc>
        <w:tc>
          <w:tcPr>
            <w:tcW w:w="441" w:type="pct"/>
            <w:shd w:val="clear" w:color="000000" w:fill="FFFFFF"/>
            <w:noWrap/>
            <w:vAlign w:val="center"/>
            <w:hideMark/>
          </w:tcPr>
          <w:p w14:paraId="5A5C9B0F"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1.164</w:t>
            </w:r>
          </w:p>
        </w:tc>
        <w:tc>
          <w:tcPr>
            <w:tcW w:w="295" w:type="pct"/>
            <w:shd w:val="clear" w:color="000000" w:fill="FFFFFF"/>
            <w:noWrap/>
            <w:vAlign w:val="center"/>
            <w:hideMark/>
          </w:tcPr>
          <w:p w14:paraId="2DB57C4C" w14:textId="2418FDD6"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1,50</w:t>
            </w:r>
          </w:p>
        </w:tc>
        <w:tc>
          <w:tcPr>
            <w:tcW w:w="515" w:type="pct"/>
            <w:shd w:val="clear" w:color="000000" w:fill="FFFFFF"/>
            <w:noWrap/>
            <w:vAlign w:val="center"/>
            <w:hideMark/>
          </w:tcPr>
          <w:p w14:paraId="266E2E07"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77,60</w:t>
            </w:r>
          </w:p>
        </w:tc>
        <w:tc>
          <w:tcPr>
            <w:tcW w:w="119" w:type="pct"/>
            <w:shd w:val="clear" w:color="000000" w:fill="FFFFFF"/>
          </w:tcPr>
          <w:p w14:paraId="6BE881C8"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000000" w:fill="FFFFFF"/>
            <w:vAlign w:val="center"/>
          </w:tcPr>
          <w:p w14:paraId="51C7BB2F"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55,10</w:t>
            </w:r>
          </w:p>
        </w:tc>
      </w:tr>
      <w:tr w:rsidR="00763C1C" w:rsidRPr="00EE3DEB" w14:paraId="77EB26E5" w14:textId="77777777" w:rsidTr="00763C1C">
        <w:trPr>
          <w:trHeight w:hRule="exact" w:val="284"/>
          <w:jc w:val="center"/>
        </w:trPr>
        <w:tc>
          <w:tcPr>
            <w:tcW w:w="3162" w:type="pct"/>
            <w:shd w:val="clear" w:color="auto" w:fill="F2F2F2" w:themeFill="background1" w:themeFillShade="F2"/>
            <w:noWrap/>
            <w:vAlign w:val="bottom"/>
            <w:hideMark/>
          </w:tcPr>
          <w:p w14:paraId="15DA8168"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 xml:space="preserve">Outras </w:t>
            </w:r>
            <w:proofErr w:type="spellStart"/>
            <w:r w:rsidRPr="00EE3DEB">
              <w:rPr>
                <w:rFonts w:ascii="Arial" w:hAnsi="Arial" w:cs="Arial"/>
                <w:color w:val="000000"/>
                <w:spacing w:val="0"/>
                <w:position w:val="0"/>
                <w:sz w:val="22"/>
                <w:szCs w:val="22"/>
              </w:rPr>
              <w:t>dorsopatias</w:t>
            </w:r>
            <w:proofErr w:type="spellEnd"/>
            <w:r w:rsidRPr="00EE3DEB">
              <w:rPr>
                <w:rFonts w:ascii="Arial" w:hAnsi="Arial" w:cs="Arial"/>
                <w:color w:val="000000"/>
                <w:spacing w:val="0"/>
                <w:position w:val="0"/>
                <w:sz w:val="22"/>
                <w:szCs w:val="22"/>
              </w:rPr>
              <w:t xml:space="preserve"> </w:t>
            </w:r>
          </w:p>
        </w:tc>
        <w:tc>
          <w:tcPr>
            <w:tcW w:w="441" w:type="pct"/>
            <w:shd w:val="clear" w:color="auto" w:fill="F2F2F2" w:themeFill="background1" w:themeFillShade="F2"/>
            <w:noWrap/>
            <w:vAlign w:val="center"/>
            <w:hideMark/>
          </w:tcPr>
          <w:p w14:paraId="7AA32AC0"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811</w:t>
            </w:r>
          </w:p>
        </w:tc>
        <w:tc>
          <w:tcPr>
            <w:tcW w:w="295" w:type="pct"/>
            <w:shd w:val="clear" w:color="auto" w:fill="F2F2F2" w:themeFill="background1" w:themeFillShade="F2"/>
            <w:noWrap/>
            <w:vAlign w:val="center"/>
            <w:hideMark/>
          </w:tcPr>
          <w:p w14:paraId="60ABFBE3" w14:textId="6DCECA1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1,05</w:t>
            </w:r>
          </w:p>
        </w:tc>
        <w:tc>
          <w:tcPr>
            <w:tcW w:w="515" w:type="pct"/>
            <w:shd w:val="clear" w:color="auto" w:fill="F2F2F2" w:themeFill="background1" w:themeFillShade="F2"/>
            <w:noWrap/>
            <w:vAlign w:val="center"/>
            <w:hideMark/>
          </w:tcPr>
          <w:p w14:paraId="40EB224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54,07</w:t>
            </w:r>
          </w:p>
        </w:tc>
        <w:tc>
          <w:tcPr>
            <w:tcW w:w="119" w:type="pct"/>
            <w:shd w:val="clear" w:color="auto" w:fill="F2F2F2" w:themeFill="background1" w:themeFillShade="F2"/>
          </w:tcPr>
          <w:p w14:paraId="178F16CD"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auto" w:fill="F2F2F2" w:themeFill="background1" w:themeFillShade="F2"/>
            <w:vAlign w:val="center"/>
          </w:tcPr>
          <w:p w14:paraId="676A6680"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42,48</w:t>
            </w:r>
          </w:p>
        </w:tc>
      </w:tr>
      <w:tr w:rsidR="00763C1C" w:rsidRPr="00EE3DEB" w14:paraId="6B8C6674" w14:textId="77777777" w:rsidTr="00763C1C">
        <w:trPr>
          <w:trHeight w:hRule="exact" w:val="284"/>
          <w:jc w:val="center"/>
        </w:trPr>
        <w:tc>
          <w:tcPr>
            <w:tcW w:w="3162" w:type="pct"/>
            <w:shd w:val="clear" w:color="000000" w:fill="FFFFFF"/>
            <w:noWrap/>
            <w:vAlign w:val="bottom"/>
            <w:hideMark/>
          </w:tcPr>
          <w:p w14:paraId="13401CB3"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Transtornos internos dos joelhos</w:t>
            </w:r>
          </w:p>
        </w:tc>
        <w:tc>
          <w:tcPr>
            <w:tcW w:w="441" w:type="pct"/>
            <w:shd w:val="clear" w:color="000000" w:fill="FFFFFF"/>
            <w:noWrap/>
            <w:vAlign w:val="center"/>
            <w:hideMark/>
          </w:tcPr>
          <w:p w14:paraId="1D99BC1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517</w:t>
            </w:r>
          </w:p>
        </w:tc>
        <w:tc>
          <w:tcPr>
            <w:tcW w:w="295" w:type="pct"/>
            <w:shd w:val="clear" w:color="000000" w:fill="FFFFFF"/>
            <w:noWrap/>
            <w:vAlign w:val="center"/>
            <w:hideMark/>
          </w:tcPr>
          <w:p w14:paraId="2DD1BFFC" w14:textId="312BBBE8"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0,67</w:t>
            </w:r>
          </w:p>
        </w:tc>
        <w:tc>
          <w:tcPr>
            <w:tcW w:w="515" w:type="pct"/>
            <w:shd w:val="clear" w:color="000000" w:fill="FFFFFF"/>
            <w:noWrap/>
            <w:vAlign w:val="center"/>
            <w:hideMark/>
          </w:tcPr>
          <w:p w14:paraId="62BEE32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34,47</w:t>
            </w:r>
          </w:p>
        </w:tc>
        <w:tc>
          <w:tcPr>
            <w:tcW w:w="119" w:type="pct"/>
            <w:shd w:val="clear" w:color="000000" w:fill="FFFFFF"/>
          </w:tcPr>
          <w:p w14:paraId="501D9A13"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000000" w:fill="FFFFFF"/>
            <w:vAlign w:val="center"/>
          </w:tcPr>
          <w:p w14:paraId="1AACA040"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13,22</w:t>
            </w:r>
          </w:p>
        </w:tc>
      </w:tr>
      <w:tr w:rsidR="00763C1C" w:rsidRPr="00EE3DEB" w14:paraId="3A4D16F4" w14:textId="77777777" w:rsidTr="00763C1C">
        <w:trPr>
          <w:trHeight w:hRule="exact" w:val="284"/>
          <w:jc w:val="center"/>
        </w:trPr>
        <w:tc>
          <w:tcPr>
            <w:tcW w:w="3162" w:type="pct"/>
            <w:shd w:val="clear" w:color="auto" w:fill="F2F2F2" w:themeFill="background1" w:themeFillShade="F2"/>
            <w:noWrap/>
            <w:vAlign w:val="bottom"/>
            <w:hideMark/>
          </w:tcPr>
          <w:p w14:paraId="04435A9E"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 xml:space="preserve">Outros transtornos articulares </w:t>
            </w:r>
          </w:p>
        </w:tc>
        <w:tc>
          <w:tcPr>
            <w:tcW w:w="441" w:type="pct"/>
            <w:shd w:val="clear" w:color="auto" w:fill="F2F2F2" w:themeFill="background1" w:themeFillShade="F2"/>
            <w:noWrap/>
            <w:vAlign w:val="center"/>
            <w:hideMark/>
          </w:tcPr>
          <w:p w14:paraId="26F8173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508</w:t>
            </w:r>
          </w:p>
        </w:tc>
        <w:tc>
          <w:tcPr>
            <w:tcW w:w="295" w:type="pct"/>
            <w:shd w:val="clear" w:color="auto" w:fill="F2F2F2" w:themeFill="background1" w:themeFillShade="F2"/>
            <w:noWrap/>
            <w:vAlign w:val="center"/>
            <w:hideMark/>
          </w:tcPr>
          <w:p w14:paraId="169FA58C" w14:textId="75D48E51"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0,65</w:t>
            </w:r>
          </w:p>
        </w:tc>
        <w:tc>
          <w:tcPr>
            <w:tcW w:w="515" w:type="pct"/>
            <w:shd w:val="clear" w:color="auto" w:fill="F2F2F2" w:themeFill="background1" w:themeFillShade="F2"/>
            <w:noWrap/>
            <w:vAlign w:val="center"/>
            <w:hideMark/>
          </w:tcPr>
          <w:p w14:paraId="059EBC69"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33,87</w:t>
            </w:r>
          </w:p>
        </w:tc>
        <w:tc>
          <w:tcPr>
            <w:tcW w:w="119" w:type="pct"/>
            <w:shd w:val="clear" w:color="auto" w:fill="F2F2F2" w:themeFill="background1" w:themeFillShade="F2"/>
          </w:tcPr>
          <w:p w14:paraId="35AEC5BD"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auto" w:fill="F2F2F2" w:themeFill="background1" w:themeFillShade="F2"/>
            <w:vAlign w:val="center"/>
          </w:tcPr>
          <w:p w14:paraId="0CE4A2FA"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12,79</w:t>
            </w:r>
          </w:p>
        </w:tc>
      </w:tr>
      <w:tr w:rsidR="00763C1C" w:rsidRPr="00EE3DEB" w14:paraId="2C69C775" w14:textId="77777777" w:rsidTr="00763C1C">
        <w:trPr>
          <w:trHeight w:hRule="exact" w:val="284"/>
          <w:jc w:val="center"/>
        </w:trPr>
        <w:tc>
          <w:tcPr>
            <w:tcW w:w="3162" w:type="pct"/>
            <w:shd w:val="clear" w:color="000000" w:fill="FFFFFF"/>
            <w:noWrap/>
            <w:vAlign w:val="bottom"/>
            <w:hideMark/>
          </w:tcPr>
          <w:p w14:paraId="3A766914"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 xml:space="preserve">Outras </w:t>
            </w:r>
            <w:proofErr w:type="spellStart"/>
            <w:r w:rsidRPr="00EE3DEB">
              <w:rPr>
                <w:rFonts w:ascii="Arial" w:hAnsi="Arial" w:cs="Arial"/>
                <w:color w:val="000000"/>
                <w:spacing w:val="0"/>
                <w:position w:val="0"/>
                <w:sz w:val="22"/>
                <w:szCs w:val="22"/>
              </w:rPr>
              <w:t>bursopatias</w:t>
            </w:r>
            <w:proofErr w:type="spellEnd"/>
          </w:p>
        </w:tc>
        <w:tc>
          <w:tcPr>
            <w:tcW w:w="441" w:type="pct"/>
            <w:shd w:val="clear" w:color="000000" w:fill="FFFFFF"/>
            <w:noWrap/>
            <w:vAlign w:val="center"/>
            <w:hideMark/>
          </w:tcPr>
          <w:p w14:paraId="6BAA0752"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478</w:t>
            </w:r>
          </w:p>
        </w:tc>
        <w:tc>
          <w:tcPr>
            <w:tcW w:w="295" w:type="pct"/>
            <w:shd w:val="clear" w:color="000000" w:fill="FFFFFF"/>
            <w:noWrap/>
            <w:vAlign w:val="center"/>
            <w:hideMark/>
          </w:tcPr>
          <w:p w14:paraId="74E7B392" w14:textId="7664ADDD"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0,62</w:t>
            </w:r>
          </w:p>
        </w:tc>
        <w:tc>
          <w:tcPr>
            <w:tcW w:w="515" w:type="pct"/>
            <w:shd w:val="clear" w:color="000000" w:fill="FFFFFF"/>
            <w:noWrap/>
            <w:vAlign w:val="center"/>
            <w:hideMark/>
          </w:tcPr>
          <w:p w14:paraId="77E0DFB2"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31,87</w:t>
            </w:r>
          </w:p>
        </w:tc>
        <w:tc>
          <w:tcPr>
            <w:tcW w:w="119" w:type="pct"/>
            <w:shd w:val="clear" w:color="000000" w:fill="FFFFFF"/>
          </w:tcPr>
          <w:p w14:paraId="08F2B304"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c>
          <w:tcPr>
            <w:tcW w:w="467" w:type="pct"/>
            <w:shd w:val="clear" w:color="000000" w:fill="FFFFFF"/>
            <w:vAlign w:val="center"/>
          </w:tcPr>
          <w:p w14:paraId="61CA63F6"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12,83</w:t>
            </w:r>
          </w:p>
        </w:tc>
      </w:tr>
      <w:tr w:rsidR="00043C4E" w:rsidRPr="00EE3DEB" w14:paraId="1F520F53" w14:textId="77777777" w:rsidTr="00763C1C">
        <w:trPr>
          <w:trHeight w:hRule="exact" w:val="284"/>
          <w:jc w:val="center"/>
        </w:trPr>
        <w:tc>
          <w:tcPr>
            <w:tcW w:w="3162" w:type="pct"/>
            <w:tcBorders>
              <w:bottom w:val="single" w:sz="4" w:space="0" w:color="auto"/>
            </w:tcBorders>
            <w:shd w:val="clear" w:color="auto" w:fill="F2F2F2" w:themeFill="background1" w:themeFillShade="F2"/>
            <w:noWrap/>
            <w:vAlign w:val="bottom"/>
          </w:tcPr>
          <w:p w14:paraId="7115AD57" w14:textId="77777777" w:rsidR="009021A2" w:rsidRPr="00EE3DEB" w:rsidRDefault="009021A2" w:rsidP="00262D82">
            <w:pPr>
              <w:rPr>
                <w:rFonts w:ascii="Arial" w:hAnsi="Arial" w:cs="Arial"/>
                <w:color w:val="000000"/>
                <w:spacing w:val="0"/>
                <w:position w:val="0"/>
                <w:sz w:val="22"/>
                <w:szCs w:val="22"/>
              </w:rPr>
            </w:pPr>
            <w:r w:rsidRPr="00EE3DEB">
              <w:rPr>
                <w:rFonts w:ascii="Arial" w:hAnsi="Arial" w:cs="Arial"/>
                <w:color w:val="000000"/>
                <w:spacing w:val="0"/>
                <w:position w:val="0"/>
                <w:sz w:val="22"/>
                <w:szCs w:val="22"/>
              </w:rPr>
              <w:t>Outros distúrbios osteomusculares**</w:t>
            </w:r>
          </w:p>
        </w:tc>
        <w:tc>
          <w:tcPr>
            <w:tcW w:w="441" w:type="pct"/>
            <w:tcBorders>
              <w:bottom w:val="single" w:sz="4" w:space="0" w:color="auto"/>
            </w:tcBorders>
            <w:shd w:val="clear" w:color="auto" w:fill="F2F2F2" w:themeFill="background1" w:themeFillShade="F2"/>
            <w:noWrap/>
            <w:vAlign w:val="center"/>
          </w:tcPr>
          <w:p w14:paraId="67A7DAA3"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2.945</w:t>
            </w:r>
          </w:p>
        </w:tc>
        <w:tc>
          <w:tcPr>
            <w:tcW w:w="295" w:type="pct"/>
            <w:tcBorders>
              <w:bottom w:val="single" w:sz="4" w:space="0" w:color="auto"/>
            </w:tcBorders>
            <w:shd w:val="clear" w:color="auto" w:fill="F2F2F2" w:themeFill="background1" w:themeFillShade="F2"/>
            <w:noWrap/>
            <w:vAlign w:val="center"/>
          </w:tcPr>
          <w:p w14:paraId="2D7B9F1E" w14:textId="0F6EDB9E"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3,80</w:t>
            </w:r>
          </w:p>
        </w:tc>
        <w:tc>
          <w:tcPr>
            <w:tcW w:w="1101" w:type="pct"/>
            <w:gridSpan w:val="3"/>
            <w:tcBorders>
              <w:bottom w:val="single" w:sz="4" w:space="0" w:color="auto"/>
            </w:tcBorders>
            <w:shd w:val="clear" w:color="auto" w:fill="F2F2F2" w:themeFill="background1" w:themeFillShade="F2"/>
            <w:noWrap/>
            <w:vAlign w:val="center"/>
          </w:tcPr>
          <w:p w14:paraId="7A941E0F" w14:textId="77777777" w:rsidR="009021A2" w:rsidRPr="00EE3DEB" w:rsidRDefault="009021A2" w:rsidP="00262D82">
            <w:pPr>
              <w:jc w:val="center"/>
              <w:rPr>
                <w:rFonts w:ascii="Arial" w:hAnsi="Arial" w:cs="Arial"/>
                <w:color w:val="000000"/>
                <w:spacing w:val="0"/>
                <w:position w:val="0"/>
                <w:sz w:val="22"/>
                <w:szCs w:val="22"/>
              </w:rPr>
            </w:pPr>
            <w:r w:rsidRPr="00EE3DEB">
              <w:rPr>
                <w:rFonts w:ascii="Arial" w:hAnsi="Arial" w:cs="Arial"/>
                <w:color w:val="000000"/>
                <w:spacing w:val="0"/>
                <w:position w:val="0"/>
                <w:sz w:val="22"/>
                <w:szCs w:val="22"/>
              </w:rPr>
              <w:t>-</w:t>
            </w:r>
          </w:p>
        </w:tc>
      </w:tr>
    </w:tbl>
    <w:p w14:paraId="2A22AFF5" w14:textId="77777777" w:rsidR="009021A2" w:rsidRPr="00811E8D" w:rsidRDefault="009021A2" w:rsidP="009021A2">
      <w:pPr>
        <w:shd w:val="clear" w:color="auto" w:fill="FFFFFF"/>
        <w:jc w:val="both"/>
        <w:rPr>
          <w:rFonts w:ascii="Arial" w:hAnsi="Arial" w:cs="Arial"/>
          <w:spacing w:val="0"/>
          <w:position w:val="0"/>
        </w:rPr>
      </w:pPr>
      <w:r w:rsidRPr="00811E8D">
        <w:rPr>
          <w:rFonts w:ascii="Arial" w:hAnsi="Arial" w:cs="Arial"/>
          <w:spacing w:val="0"/>
          <w:position w:val="0"/>
        </w:rPr>
        <w:t>Fonte: Dados da pesquisa.</w:t>
      </w:r>
    </w:p>
    <w:p w14:paraId="0FC50474" w14:textId="77777777" w:rsidR="009021A2" w:rsidRPr="00811E8D" w:rsidRDefault="009021A2" w:rsidP="009021A2">
      <w:pPr>
        <w:shd w:val="clear" w:color="auto" w:fill="FFFFFF"/>
        <w:jc w:val="both"/>
        <w:rPr>
          <w:rFonts w:ascii="Arial" w:hAnsi="Arial" w:cs="Arial"/>
          <w:spacing w:val="0"/>
          <w:position w:val="0"/>
        </w:rPr>
      </w:pPr>
      <w:r w:rsidRPr="00811E8D">
        <w:rPr>
          <w:rFonts w:ascii="Arial" w:hAnsi="Arial" w:cs="Arial"/>
          <w:spacing w:val="0"/>
          <w:position w:val="0"/>
        </w:rPr>
        <w:t>Nota:</w:t>
      </w:r>
      <w:r w:rsidRPr="00811E8D">
        <w:rPr>
          <w:rFonts w:ascii="Arial" w:hAnsi="Arial" w:cs="Arial"/>
          <w:spacing w:val="0"/>
          <w:position w:val="0"/>
        </w:rPr>
        <w:tab/>
        <w:t>* Média anual de registros ± desvio padrão;</w:t>
      </w:r>
    </w:p>
    <w:p w14:paraId="14487D55" w14:textId="77777777" w:rsidR="009021A2" w:rsidRPr="00811E8D" w:rsidRDefault="009021A2" w:rsidP="009021A2">
      <w:pPr>
        <w:shd w:val="clear" w:color="auto" w:fill="FFFFFF"/>
        <w:ind w:firstLine="708"/>
        <w:jc w:val="both"/>
        <w:rPr>
          <w:rFonts w:ascii="Arial" w:hAnsi="Arial" w:cs="Arial"/>
          <w:spacing w:val="0"/>
          <w:position w:val="0"/>
        </w:rPr>
      </w:pPr>
      <w:r w:rsidRPr="00811E8D">
        <w:rPr>
          <w:rFonts w:ascii="Arial" w:hAnsi="Arial" w:cs="Arial"/>
          <w:spacing w:val="0"/>
          <w:position w:val="0"/>
        </w:rPr>
        <w:lastRenderedPageBreak/>
        <w:t>** Somatória dos outros 66 distúrbios osteomusculares com menor frequência de ocorrência.</w:t>
      </w:r>
    </w:p>
    <w:p w14:paraId="7DDCAF30" w14:textId="34ADFB59" w:rsidR="00B93316" w:rsidRPr="00811E8D" w:rsidRDefault="00B93316"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No Estado de São Paulo, os principais distúrbios foram originados de lesões do ombro (33,33%). Enquanto que a nível nacional o principal distúrbio foi a M65 - Sinovite e Tenossinovite com 35,58% dos registros no mesmo período. </w:t>
      </w:r>
    </w:p>
    <w:p w14:paraId="1F71FA6F" w14:textId="686D7696" w:rsidR="009021A2" w:rsidRPr="00811E8D" w:rsidRDefault="009021A2"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As CID-10 M01 - </w:t>
      </w:r>
      <w:hyperlink r:id="rId10" w:history="1">
        <w:r w:rsidRPr="00811E8D">
          <w:rPr>
            <w:rStyle w:val="Hyperlink"/>
            <w:rFonts w:ascii="Arial" w:hAnsi="Arial" w:cs="Arial"/>
            <w:color w:val="auto"/>
            <w:spacing w:val="0"/>
            <w:position w:val="0"/>
            <w:u w:val="none"/>
            <w:bdr w:val="none" w:sz="0" w:space="0" w:color="auto" w:frame="1"/>
            <w:shd w:val="clear" w:color="auto" w:fill="FFFFFF"/>
          </w:rPr>
          <w:t>Infecções Diretas da Articulação em Doenças Infecciosas e Parasitárias</w:t>
        </w:r>
      </w:hyperlink>
      <w:r w:rsidRPr="00811E8D">
        <w:rPr>
          <w:rFonts w:ascii="Arial" w:hAnsi="Arial" w:cs="Arial"/>
          <w:spacing w:val="0"/>
          <w:position w:val="0"/>
        </w:rPr>
        <w:t xml:space="preserve">, M03 - </w:t>
      </w:r>
      <w:hyperlink r:id="rId11" w:history="1">
        <w:proofErr w:type="spellStart"/>
        <w:r w:rsidRPr="00811E8D">
          <w:rPr>
            <w:rStyle w:val="Hyperlink"/>
            <w:rFonts w:ascii="Arial" w:hAnsi="Arial" w:cs="Arial"/>
            <w:color w:val="auto"/>
            <w:spacing w:val="0"/>
            <w:position w:val="0"/>
            <w:u w:val="none"/>
            <w:bdr w:val="none" w:sz="0" w:space="0" w:color="auto" w:frame="1"/>
            <w:shd w:val="clear" w:color="auto" w:fill="FFFFFF"/>
          </w:rPr>
          <w:t>Artropatias</w:t>
        </w:r>
        <w:proofErr w:type="spellEnd"/>
        <w:r w:rsidRPr="00811E8D">
          <w:rPr>
            <w:rStyle w:val="Hyperlink"/>
            <w:rFonts w:ascii="Arial" w:hAnsi="Arial" w:cs="Arial"/>
            <w:color w:val="auto"/>
            <w:spacing w:val="0"/>
            <w:position w:val="0"/>
            <w:u w:val="none"/>
            <w:bdr w:val="none" w:sz="0" w:space="0" w:color="auto" w:frame="1"/>
            <w:shd w:val="clear" w:color="auto" w:fill="FFFFFF"/>
          </w:rPr>
          <w:t xml:space="preserve"> Pós-infecciosas e Reacionais em Doenças Infecciosas</w:t>
        </w:r>
      </w:hyperlink>
      <w:r w:rsidRPr="00811E8D">
        <w:rPr>
          <w:rFonts w:ascii="Arial" w:hAnsi="Arial" w:cs="Arial"/>
          <w:spacing w:val="0"/>
          <w:position w:val="0"/>
        </w:rPr>
        <w:t xml:space="preserve">, M09 - </w:t>
      </w:r>
      <w:hyperlink r:id="rId12" w:history="1">
        <w:r w:rsidRPr="00811E8D">
          <w:rPr>
            <w:rStyle w:val="Hyperlink"/>
            <w:rFonts w:ascii="Arial" w:hAnsi="Arial" w:cs="Arial"/>
            <w:color w:val="auto"/>
            <w:spacing w:val="0"/>
            <w:position w:val="0"/>
            <w:u w:val="none"/>
            <w:bdr w:val="none" w:sz="0" w:space="0" w:color="auto" w:frame="1"/>
            <w:shd w:val="clear" w:color="auto" w:fill="FFFFFF"/>
          </w:rPr>
          <w:t>Artrite Juvenil em Doenças</w:t>
        </w:r>
      </w:hyperlink>
      <w:r w:rsidRPr="00811E8D">
        <w:rPr>
          <w:rFonts w:ascii="Arial" w:hAnsi="Arial" w:cs="Arial"/>
          <w:spacing w:val="0"/>
          <w:position w:val="0"/>
        </w:rPr>
        <w:t xml:space="preserve">, M31 - Outras </w:t>
      </w:r>
      <w:proofErr w:type="spellStart"/>
      <w:r w:rsidRPr="00811E8D">
        <w:rPr>
          <w:rFonts w:ascii="Arial" w:hAnsi="Arial" w:cs="Arial"/>
          <w:spacing w:val="0"/>
          <w:position w:val="0"/>
        </w:rPr>
        <w:t>Vasculopatias</w:t>
      </w:r>
      <w:proofErr w:type="spellEnd"/>
      <w:r w:rsidRPr="00811E8D">
        <w:rPr>
          <w:rFonts w:ascii="Arial" w:hAnsi="Arial" w:cs="Arial"/>
          <w:spacing w:val="0"/>
          <w:position w:val="0"/>
        </w:rPr>
        <w:t xml:space="preserve"> Necrotizantes, M34 - Esclerose Sistêmica e M82 - </w:t>
      </w:r>
      <w:hyperlink r:id="rId13" w:history="1">
        <w:r w:rsidRPr="00811E8D">
          <w:rPr>
            <w:rStyle w:val="Hyperlink"/>
            <w:rFonts w:ascii="Arial" w:hAnsi="Arial" w:cs="Arial"/>
            <w:color w:val="auto"/>
            <w:spacing w:val="0"/>
            <w:position w:val="0"/>
            <w:u w:val="none"/>
            <w:bdr w:val="none" w:sz="0" w:space="0" w:color="auto" w:frame="1"/>
            <w:shd w:val="clear" w:color="auto" w:fill="FFFFFF"/>
          </w:rPr>
          <w:t>Osteoporose em Doenças Classificadas</w:t>
        </w:r>
      </w:hyperlink>
      <w:r w:rsidRPr="00811E8D">
        <w:rPr>
          <w:rFonts w:ascii="Arial" w:hAnsi="Arial" w:cs="Arial"/>
          <w:spacing w:val="0"/>
          <w:position w:val="0"/>
        </w:rPr>
        <w:t xml:space="preserve">, foram os distúrbios com apenas um registro cada dentre os quinze anos monitorados no Estado de São Paulo. A nível nacional os distúrbios com menor ocorrência foram M03, M09 e M88 - </w:t>
      </w:r>
      <w:hyperlink r:id="rId14" w:history="1">
        <w:r w:rsidRPr="00811E8D">
          <w:rPr>
            <w:rStyle w:val="Hyperlink"/>
            <w:rFonts w:ascii="Arial" w:hAnsi="Arial" w:cs="Arial"/>
            <w:color w:val="auto"/>
            <w:spacing w:val="0"/>
            <w:position w:val="0"/>
            <w:u w:val="none"/>
            <w:bdr w:val="none" w:sz="0" w:space="0" w:color="auto" w:frame="1"/>
            <w:shd w:val="clear" w:color="auto" w:fill="FFFFFF"/>
          </w:rPr>
          <w:t xml:space="preserve">Doença de </w:t>
        </w:r>
        <w:proofErr w:type="spellStart"/>
        <w:r w:rsidRPr="00811E8D">
          <w:rPr>
            <w:rStyle w:val="Hyperlink"/>
            <w:rFonts w:ascii="Arial" w:hAnsi="Arial" w:cs="Arial"/>
            <w:color w:val="auto"/>
            <w:spacing w:val="0"/>
            <w:position w:val="0"/>
            <w:u w:val="none"/>
            <w:bdr w:val="none" w:sz="0" w:space="0" w:color="auto" w:frame="1"/>
            <w:shd w:val="clear" w:color="auto" w:fill="FFFFFF"/>
          </w:rPr>
          <w:t>Paget</w:t>
        </w:r>
        <w:proofErr w:type="spellEnd"/>
        <w:r w:rsidRPr="00811E8D">
          <w:rPr>
            <w:rStyle w:val="Hyperlink"/>
            <w:rFonts w:ascii="Arial" w:hAnsi="Arial" w:cs="Arial"/>
            <w:color w:val="auto"/>
            <w:spacing w:val="0"/>
            <w:position w:val="0"/>
            <w:u w:val="none"/>
            <w:bdr w:val="none" w:sz="0" w:space="0" w:color="auto" w:frame="1"/>
            <w:shd w:val="clear" w:color="auto" w:fill="FFFFFF"/>
          </w:rPr>
          <w:t xml:space="preserve"> do Osso (osteíte deformante)</w:t>
        </w:r>
      </w:hyperlink>
      <w:r w:rsidRPr="00811E8D">
        <w:rPr>
          <w:rFonts w:ascii="Arial" w:hAnsi="Arial" w:cs="Arial"/>
          <w:spacing w:val="0"/>
          <w:position w:val="0"/>
        </w:rPr>
        <w:t xml:space="preserve">, também com apenas um registro cada no mesmo período. </w:t>
      </w:r>
    </w:p>
    <w:p w14:paraId="20C9364D" w14:textId="53F0AE7C" w:rsidR="003F1A2D" w:rsidRPr="004F5A8C" w:rsidRDefault="00F519BA" w:rsidP="008D473A">
      <w:pPr>
        <w:shd w:val="clear" w:color="auto" w:fill="FFFFFF"/>
        <w:spacing w:line="360" w:lineRule="auto"/>
        <w:ind w:firstLine="709"/>
        <w:contextualSpacing/>
        <w:jc w:val="both"/>
        <w:rPr>
          <w:rFonts w:ascii="Arial" w:hAnsi="Arial" w:cs="Arial"/>
          <w:color w:val="000000"/>
          <w:spacing w:val="0"/>
          <w:position w:val="0"/>
          <w:shd w:val="clear" w:color="auto" w:fill="FFFFFF"/>
        </w:rPr>
      </w:pPr>
      <w:r w:rsidRPr="004F5A8C">
        <w:rPr>
          <w:rFonts w:ascii="Arial" w:hAnsi="Arial" w:cs="Arial"/>
          <w:color w:val="000000"/>
          <w:spacing w:val="0"/>
          <w:position w:val="0"/>
          <w:shd w:val="clear" w:color="auto" w:fill="FFFFFF"/>
        </w:rPr>
        <w:t xml:space="preserve">O mapa </w:t>
      </w:r>
      <w:r w:rsidR="003F1A2D" w:rsidRPr="004F5A8C">
        <w:rPr>
          <w:rFonts w:ascii="Arial" w:hAnsi="Arial" w:cs="Arial"/>
          <w:color w:val="000000"/>
          <w:spacing w:val="0"/>
          <w:position w:val="0"/>
          <w:shd w:val="clear" w:color="auto" w:fill="FFFFFF"/>
        </w:rPr>
        <w:t xml:space="preserve">temático </w:t>
      </w:r>
      <w:r w:rsidRPr="004F5A8C">
        <w:rPr>
          <w:rFonts w:ascii="Arial" w:hAnsi="Arial" w:cs="Arial"/>
          <w:color w:val="000000"/>
          <w:spacing w:val="0"/>
          <w:position w:val="0"/>
          <w:shd w:val="clear" w:color="auto" w:fill="FFFFFF"/>
        </w:rPr>
        <w:t>(Figura 3) de distribuição</w:t>
      </w:r>
      <w:r w:rsidR="003F1A2D" w:rsidRPr="004F5A8C">
        <w:rPr>
          <w:rFonts w:ascii="Arial" w:hAnsi="Arial" w:cs="Arial"/>
          <w:color w:val="000000"/>
          <w:spacing w:val="0"/>
          <w:position w:val="0"/>
          <w:shd w:val="clear" w:color="auto" w:fill="FFFFFF"/>
        </w:rPr>
        <w:t xml:space="preserve"> geográfica</w:t>
      </w:r>
      <w:r w:rsidRPr="004F5A8C">
        <w:rPr>
          <w:rFonts w:ascii="Arial" w:hAnsi="Arial" w:cs="Arial"/>
          <w:color w:val="000000"/>
          <w:spacing w:val="0"/>
          <w:position w:val="0"/>
          <w:shd w:val="clear" w:color="auto" w:fill="FFFFFF"/>
        </w:rPr>
        <w:t xml:space="preserve"> destaca os municípios com maior taxa de doenças ocupacionais </w:t>
      </w:r>
      <w:r w:rsidR="003F1A2D" w:rsidRPr="004F5A8C">
        <w:rPr>
          <w:rFonts w:ascii="Arial" w:hAnsi="Arial" w:cs="Arial"/>
          <w:color w:val="000000"/>
          <w:spacing w:val="0"/>
          <w:position w:val="0"/>
          <w:shd w:val="clear" w:color="auto" w:fill="FFFFFF"/>
        </w:rPr>
        <w:t>por população</w:t>
      </w:r>
      <w:r w:rsidRPr="004F5A8C">
        <w:rPr>
          <w:rFonts w:ascii="Arial" w:hAnsi="Arial" w:cs="Arial"/>
          <w:color w:val="000000"/>
          <w:spacing w:val="0"/>
          <w:position w:val="0"/>
          <w:shd w:val="clear" w:color="auto" w:fill="FFFFFF"/>
        </w:rPr>
        <w:t xml:space="preserve"> no Estado de São Paulo.</w:t>
      </w:r>
    </w:p>
    <w:p w14:paraId="5362A9E8" w14:textId="77777777" w:rsidR="004F5A8C" w:rsidRDefault="004F5A8C" w:rsidP="00471E6B">
      <w:pPr>
        <w:shd w:val="clear" w:color="auto" w:fill="FFFFFF"/>
        <w:spacing w:line="360" w:lineRule="auto"/>
        <w:ind w:firstLine="567"/>
        <w:contextualSpacing/>
        <w:jc w:val="both"/>
        <w:rPr>
          <w:rFonts w:ascii="Arial" w:hAnsi="Arial" w:cs="Arial"/>
          <w:color w:val="000000"/>
          <w:spacing w:val="0"/>
          <w:position w:val="0"/>
          <w:shd w:val="clear" w:color="auto" w:fill="FFFFFF"/>
        </w:rPr>
      </w:pPr>
    </w:p>
    <w:p w14:paraId="5170440E" w14:textId="2914269A" w:rsidR="009021A2" w:rsidRPr="00811E8D" w:rsidRDefault="004F5A8C" w:rsidP="004F5A8C">
      <w:pPr>
        <w:shd w:val="clear" w:color="auto" w:fill="FFFFFF"/>
        <w:rPr>
          <w:rFonts w:ascii="Arial" w:hAnsi="Arial" w:cs="Arial"/>
          <w:color w:val="000000"/>
          <w:spacing w:val="0"/>
          <w:position w:val="0"/>
          <w:shd w:val="clear" w:color="auto" w:fill="FFFFFF"/>
        </w:rPr>
      </w:pPr>
      <w:r w:rsidRPr="004F5A8C">
        <w:rPr>
          <w:rFonts w:ascii="Arial" w:hAnsi="Arial" w:cs="Arial"/>
          <w:b/>
          <w:bCs/>
          <w:spacing w:val="0"/>
          <w:position w:val="0"/>
        </w:rPr>
        <w:t>Figura 3: Mapa de distribuição média das doenças do trabalho a cada 10mil habitantes no Estado de São Paulo, no período de 2002 a 2018.</w:t>
      </w:r>
    </w:p>
    <w:p w14:paraId="6E57771D" w14:textId="77777777" w:rsidR="00804AE1" w:rsidRPr="00811E8D" w:rsidRDefault="00804AE1" w:rsidP="00AD2E13">
      <w:pPr>
        <w:jc w:val="center"/>
        <w:rPr>
          <w:rFonts w:ascii="Arial" w:hAnsi="Arial" w:cs="Arial"/>
          <w:spacing w:val="0"/>
          <w:position w:val="0"/>
        </w:rPr>
      </w:pPr>
      <w:r w:rsidRPr="00811E8D">
        <w:rPr>
          <w:rFonts w:ascii="Arial" w:hAnsi="Arial" w:cs="Arial"/>
          <w:noProof/>
          <w:spacing w:val="0"/>
          <w:position w:val="0"/>
        </w:rPr>
        <w:drawing>
          <wp:inline distT="0" distB="0" distL="0" distR="0" wp14:anchorId="6D43696B" wp14:editId="4103B919">
            <wp:extent cx="5400000" cy="3713254"/>
            <wp:effectExtent l="0" t="0" r="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0" cy="3713254"/>
                    </a:xfrm>
                    <a:prstGeom prst="rect">
                      <a:avLst/>
                    </a:prstGeom>
                  </pic:spPr>
                </pic:pic>
              </a:graphicData>
            </a:graphic>
          </wp:inline>
        </w:drawing>
      </w:r>
    </w:p>
    <w:p w14:paraId="2C817338" w14:textId="74771FA8" w:rsidR="00804AE1" w:rsidRPr="00811E8D" w:rsidRDefault="00804AE1" w:rsidP="004F5A8C">
      <w:pPr>
        <w:rPr>
          <w:rFonts w:ascii="Arial" w:hAnsi="Arial" w:cs="Arial"/>
          <w:spacing w:val="0"/>
          <w:position w:val="0"/>
        </w:rPr>
      </w:pPr>
      <w:r w:rsidRPr="00811E8D">
        <w:rPr>
          <w:rFonts w:ascii="Arial" w:hAnsi="Arial" w:cs="Arial"/>
          <w:spacing w:val="0"/>
          <w:position w:val="0"/>
        </w:rPr>
        <w:t xml:space="preserve">Fonte: </w:t>
      </w:r>
      <w:r w:rsidR="00BC0693" w:rsidRPr="00811E8D">
        <w:rPr>
          <w:rFonts w:ascii="Arial" w:hAnsi="Arial" w:cs="Arial"/>
          <w:spacing w:val="0"/>
          <w:position w:val="0"/>
        </w:rPr>
        <w:t>Dados da pesquisa</w:t>
      </w:r>
      <w:r w:rsidRPr="00811E8D">
        <w:rPr>
          <w:rFonts w:ascii="Arial" w:hAnsi="Arial" w:cs="Arial"/>
          <w:spacing w:val="0"/>
          <w:position w:val="0"/>
        </w:rPr>
        <w:t>.</w:t>
      </w:r>
    </w:p>
    <w:p w14:paraId="19066453" w14:textId="77777777" w:rsidR="00643FDF" w:rsidRPr="00811E8D" w:rsidRDefault="00643FDF" w:rsidP="005E486C">
      <w:pPr>
        <w:spacing w:line="360" w:lineRule="auto"/>
        <w:contextualSpacing/>
        <w:rPr>
          <w:rFonts w:ascii="Arial" w:hAnsi="Arial" w:cs="Arial"/>
          <w:spacing w:val="0"/>
          <w:position w:val="0"/>
        </w:rPr>
      </w:pPr>
    </w:p>
    <w:p w14:paraId="028AAC24" w14:textId="43C0ABF0" w:rsidR="00311FFA" w:rsidRPr="00811E8D" w:rsidRDefault="00B16153" w:rsidP="005E486C">
      <w:pPr>
        <w:shd w:val="clear" w:color="auto" w:fill="FFFFFF"/>
        <w:spacing w:line="360" w:lineRule="auto"/>
        <w:ind w:firstLine="709"/>
        <w:contextualSpacing/>
        <w:jc w:val="both"/>
        <w:rPr>
          <w:rFonts w:ascii="Arial" w:hAnsi="Arial" w:cs="Arial"/>
          <w:color w:val="000000"/>
          <w:spacing w:val="0"/>
          <w:position w:val="0"/>
          <w:shd w:val="clear" w:color="auto" w:fill="FFFFFF"/>
        </w:rPr>
      </w:pPr>
      <w:r w:rsidRPr="00811E8D">
        <w:rPr>
          <w:rFonts w:ascii="Arial" w:hAnsi="Arial" w:cs="Arial"/>
          <w:color w:val="000000"/>
          <w:spacing w:val="0"/>
          <w:position w:val="0"/>
          <w:shd w:val="clear" w:color="auto" w:fill="FFFFFF"/>
        </w:rPr>
        <w:lastRenderedPageBreak/>
        <w:t>Os municípios</w:t>
      </w:r>
      <w:r w:rsidR="00E8553F" w:rsidRPr="00811E8D">
        <w:rPr>
          <w:rFonts w:ascii="Arial" w:hAnsi="Arial" w:cs="Arial"/>
          <w:color w:val="000000"/>
          <w:spacing w:val="0"/>
          <w:position w:val="0"/>
          <w:shd w:val="clear" w:color="auto" w:fill="FFFFFF"/>
        </w:rPr>
        <w:t xml:space="preserve"> com as maiores taxas observadas foram Nova Aliança (11,05), </w:t>
      </w:r>
      <w:proofErr w:type="spellStart"/>
      <w:r w:rsidR="00E8553F" w:rsidRPr="00811E8D">
        <w:rPr>
          <w:rFonts w:ascii="Arial" w:hAnsi="Arial" w:cs="Arial"/>
          <w:color w:val="000000"/>
          <w:spacing w:val="0"/>
          <w:position w:val="0"/>
          <w:shd w:val="clear" w:color="auto" w:fill="FFFFFF"/>
        </w:rPr>
        <w:t>Nuporanga</w:t>
      </w:r>
      <w:proofErr w:type="spellEnd"/>
      <w:r w:rsidR="00E8553F" w:rsidRPr="00811E8D">
        <w:rPr>
          <w:rFonts w:ascii="Arial" w:hAnsi="Arial" w:cs="Arial"/>
          <w:color w:val="000000"/>
          <w:spacing w:val="0"/>
          <w:position w:val="0"/>
          <w:shd w:val="clear" w:color="auto" w:fill="FFFFFF"/>
        </w:rPr>
        <w:t xml:space="preserve"> (8,07), São Caetano do Sul (6,91), Guapiaçu (6,91), Botucatu (6,28), Pedreira (6,27), Rio Claro (5,81), São Bernardo do Campo (5,26), Jaguariúna (5,23), Jambeiro (4,90), </w:t>
      </w:r>
      <w:proofErr w:type="spellStart"/>
      <w:r w:rsidR="00E8553F" w:rsidRPr="00811E8D">
        <w:rPr>
          <w:rFonts w:ascii="Arial" w:hAnsi="Arial" w:cs="Arial"/>
          <w:color w:val="000000"/>
          <w:spacing w:val="0"/>
          <w:position w:val="0"/>
          <w:shd w:val="clear" w:color="auto" w:fill="FFFFFF"/>
        </w:rPr>
        <w:t>Sud</w:t>
      </w:r>
      <w:proofErr w:type="spellEnd"/>
      <w:r w:rsidR="00E8553F" w:rsidRPr="00811E8D">
        <w:rPr>
          <w:rFonts w:ascii="Arial" w:hAnsi="Arial" w:cs="Arial"/>
          <w:color w:val="000000"/>
          <w:spacing w:val="0"/>
          <w:position w:val="0"/>
          <w:shd w:val="clear" w:color="auto" w:fill="FFFFFF"/>
        </w:rPr>
        <w:t xml:space="preserve"> </w:t>
      </w:r>
      <w:proofErr w:type="spellStart"/>
      <w:r w:rsidR="00E8553F" w:rsidRPr="00811E8D">
        <w:rPr>
          <w:rFonts w:ascii="Arial" w:hAnsi="Arial" w:cs="Arial"/>
          <w:color w:val="000000"/>
          <w:spacing w:val="0"/>
          <w:position w:val="0"/>
          <w:shd w:val="clear" w:color="auto" w:fill="FFFFFF"/>
        </w:rPr>
        <w:t>Mennucci</w:t>
      </w:r>
      <w:proofErr w:type="spellEnd"/>
      <w:r w:rsidR="00E8553F" w:rsidRPr="00811E8D">
        <w:rPr>
          <w:rFonts w:ascii="Arial" w:hAnsi="Arial" w:cs="Arial"/>
          <w:color w:val="000000"/>
          <w:spacing w:val="0"/>
          <w:position w:val="0"/>
          <w:shd w:val="clear" w:color="auto" w:fill="FFFFFF"/>
        </w:rPr>
        <w:t xml:space="preserve"> (4,88), São José dos Campos (4,74), Morungaba (4,62) e Diadema (4,49). Dentre estes, apenas </w:t>
      </w:r>
      <w:r w:rsidRPr="00811E8D">
        <w:rPr>
          <w:rFonts w:ascii="Arial" w:hAnsi="Arial" w:cs="Arial"/>
          <w:color w:val="000000"/>
          <w:spacing w:val="0"/>
          <w:position w:val="0"/>
          <w:shd w:val="clear" w:color="auto" w:fill="FFFFFF"/>
        </w:rPr>
        <w:t>dois</w:t>
      </w:r>
      <w:r w:rsidR="00E8553F" w:rsidRPr="00811E8D">
        <w:rPr>
          <w:rFonts w:ascii="Arial" w:hAnsi="Arial" w:cs="Arial"/>
          <w:color w:val="000000"/>
          <w:spacing w:val="0"/>
          <w:position w:val="0"/>
          <w:shd w:val="clear" w:color="auto" w:fill="FFFFFF"/>
        </w:rPr>
        <w:t xml:space="preserve"> são considerad</w:t>
      </w:r>
      <w:r w:rsidRPr="00811E8D">
        <w:rPr>
          <w:rFonts w:ascii="Arial" w:hAnsi="Arial" w:cs="Arial"/>
          <w:color w:val="000000"/>
          <w:spacing w:val="0"/>
          <w:position w:val="0"/>
          <w:shd w:val="clear" w:color="auto" w:fill="FFFFFF"/>
        </w:rPr>
        <w:t>o</w:t>
      </w:r>
      <w:r w:rsidR="00E8553F" w:rsidRPr="00811E8D">
        <w:rPr>
          <w:rFonts w:ascii="Arial" w:hAnsi="Arial" w:cs="Arial"/>
          <w:color w:val="000000"/>
          <w:spacing w:val="0"/>
          <w:position w:val="0"/>
          <w:shd w:val="clear" w:color="auto" w:fill="FFFFFF"/>
        </w:rPr>
        <w:t>s de grande porte, São Bernardo do Campo na região do ABC paulista e São José dos Campos no Alto Tietê.</w:t>
      </w:r>
      <w:r w:rsidRPr="00811E8D">
        <w:rPr>
          <w:rFonts w:ascii="Arial" w:hAnsi="Arial" w:cs="Arial"/>
          <w:color w:val="000000"/>
          <w:spacing w:val="0"/>
          <w:position w:val="0"/>
          <w:shd w:val="clear" w:color="auto" w:fill="FFFFFF"/>
        </w:rPr>
        <w:t xml:space="preserve"> As demais são cidades de pequeno e médio porte</w:t>
      </w:r>
      <w:r w:rsidR="00233995" w:rsidRPr="00811E8D">
        <w:rPr>
          <w:rFonts w:ascii="Arial" w:hAnsi="Arial" w:cs="Arial"/>
          <w:color w:val="000000"/>
          <w:spacing w:val="0"/>
          <w:position w:val="0"/>
          <w:shd w:val="clear" w:color="auto" w:fill="FFFFFF"/>
        </w:rPr>
        <w:t>,</w:t>
      </w:r>
      <w:r w:rsidRPr="00811E8D">
        <w:rPr>
          <w:rFonts w:ascii="Arial" w:hAnsi="Arial" w:cs="Arial"/>
          <w:color w:val="000000"/>
          <w:spacing w:val="0"/>
          <w:position w:val="0"/>
          <w:shd w:val="clear" w:color="auto" w:fill="FFFFFF"/>
        </w:rPr>
        <w:t xml:space="preserve"> localizadas no interior do Estado.</w:t>
      </w:r>
    </w:p>
    <w:p w14:paraId="1914AE0F" w14:textId="745E53CB" w:rsidR="00BA767C" w:rsidRPr="00811E8D" w:rsidRDefault="00E8553F" w:rsidP="008D473A">
      <w:pPr>
        <w:shd w:val="clear" w:color="auto" w:fill="FFFFFF"/>
        <w:spacing w:line="360" w:lineRule="auto"/>
        <w:ind w:firstLine="709"/>
        <w:contextualSpacing/>
        <w:jc w:val="both"/>
        <w:rPr>
          <w:rFonts w:ascii="Arial" w:hAnsi="Arial" w:cs="Arial"/>
          <w:spacing w:val="0"/>
          <w:position w:val="0"/>
        </w:rPr>
      </w:pPr>
      <w:r w:rsidRPr="00811E8D">
        <w:rPr>
          <w:rFonts w:ascii="Arial" w:hAnsi="Arial" w:cs="Arial"/>
          <w:color w:val="000000"/>
          <w:spacing w:val="0"/>
          <w:position w:val="0"/>
          <w:shd w:val="clear" w:color="auto" w:fill="FFFFFF"/>
        </w:rPr>
        <w:t xml:space="preserve">Tendo em vista a importância </w:t>
      </w:r>
      <w:r w:rsidR="00A20987" w:rsidRPr="00811E8D">
        <w:rPr>
          <w:rFonts w:ascii="Arial" w:hAnsi="Arial" w:cs="Arial"/>
          <w:color w:val="000000"/>
          <w:spacing w:val="0"/>
          <w:position w:val="0"/>
          <w:shd w:val="clear" w:color="auto" w:fill="FFFFFF"/>
        </w:rPr>
        <w:t>econômica das</w:t>
      </w:r>
      <w:r w:rsidRPr="00811E8D">
        <w:rPr>
          <w:rFonts w:ascii="Arial" w:hAnsi="Arial" w:cs="Arial"/>
          <w:color w:val="000000"/>
          <w:spacing w:val="0"/>
          <w:position w:val="0"/>
          <w:shd w:val="clear" w:color="auto" w:fill="FFFFFF"/>
        </w:rPr>
        <w:t xml:space="preserve"> cidades paulistas de grande porte</w:t>
      </w:r>
      <w:r w:rsidR="0004247F" w:rsidRPr="00811E8D">
        <w:rPr>
          <w:rFonts w:ascii="Arial" w:hAnsi="Arial" w:cs="Arial"/>
          <w:color w:val="000000"/>
          <w:spacing w:val="0"/>
          <w:position w:val="0"/>
          <w:shd w:val="clear" w:color="auto" w:fill="FFFFFF"/>
        </w:rPr>
        <w:t>, além da elevada concentração populacional, foram testados estatisticamente as correlações entre os indicadores sociais (PIB e IDHM) e os registros de doenças ocupacionais anuais. Com isso, observou-se uma correlação estatisticamente significativa</w:t>
      </w:r>
      <w:r w:rsidR="0045182A" w:rsidRPr="00811E8D">
        <w:rPr>
          <w:rFonts w:ascii="Arial" w:hAnsi="Arial" w:cs="Arial"/>
          <w:color w:val="000000"/>
          <w:spacing w:val="0"/>
          <w:position w:val="0"/>
          <w:shd w:val="clear" w:color="auto" w:fill="FFFFFF"/>
        </w:rPr>
        <w:t xml:space="preserve"> indireta</w:t>
      </w:r>
      <w:r w:rsidR="0004247F" w:rsidRPr="00811E8D">
        <w:rPr>
          <w:rFonts w:ascii="Arial" w:hAnsi="Arial" w:cs="Arial"/>
          <w:color w:val="000000"/>
          <w:spacing w:val="0"/>
          <w:position w:val="0"/>
          <w:shd w:val="clear" w:color="auto" w:fill="FFFFFF"/>
        </w:rPr>
        <w:t xml:space="preserve"> e moderada </w:t>
      </w:r>
      <w:r w:rsidR="0004247F" w:rsidRPr="00811E8D">
        <w:rPr>
          <w:rFonts w:ascii="Arial" w:hAnsi="Arial" w:cs="Arial"/>
          <w:spacing w:val="0"/>
          <w:position w:val="0"/>
        </w:rPr>
        <w:t>(</w:t>
      </w:r>
      <w:r w:rsidR="0004247F" w:rsidRPr="00811E8D">
        <w:rPr>
          <w:rFonts w:ascii="Arial" w:hAnsi="Arial" w:cs="Arial"/>
          <w:spacing w:val="0"/>
          <w:position w:val="0"/>
        </w:rPr>
        <w:sym w:font="Symbol" w:char="F072"/>
      </w:r>
      <w:r w:rsidR="0004247F" w:rsidRPr="00811E8D">
        <w:rPr>
          <w:rFonts w:ascii="Arial" w:hAnsi="Arial" w:cs="Arial"/>
          <w:spacing w:val="0"/>
          <w:position w:val="0"/>
        </w:rPr>
        <w:t xml:space="preserve"> &lt; -0,70)</w:t>
      </w:r>
      <w:r w:rsidR="00A20987" w:rsidRPr="00811E8D">
        <w:rPr>
          <w:rFonts w:ascii="Arial" w:hAnsi="Arial" w:cs="Arial"/>
          <w:spacing w:val="0"/>
          <w:position w:val="0"/>
        </w:rPr>
        <w:t xml:space="preserve">, </w:t>
      </w:r>
      <w:r w:rsidR="0004247F" w:rsidRPr="00811E8D">
        <w:rPr>
          <w:rFonts w:ascii="Arial" w:hAnsi="Arial" w:cs="Arial"/>
          <w:color w:val="000000"/>
          <w:spacing w:val="0"/>
          <w:position w:val="0"/>
          <w:shd w:val="clear" w:color="auto" w:fill="FFFFFF"/>
        </w:rPr>
        <w:t>tanto do PIB quanto do IDHM em relação ao número de doenças do trabalho e</w:t>
      </w:r>
      <w:r w:rsidR="007D256F" w:rsidRPr="00811E8D">
        <w:rPr>
          <w:rFonts w:ascii="Arial" w:hAnsi="Arial" w:cs="Arial"/>
          <w:spacing w:val="0"/>
          <w:position w:val="0"/>
        </w:rPr>
        <w:t>m mais da metade dos municípios avaliados (</w:t>
      </w:r>
      <w:r w:rsidR="00F8418F" w:rsidRPr="00811E8D">
        <w:rPr>
          <w:rFonts w:ascii="Arial" w:hAnsi="Arial" w:cs="Arial"/>
          <w:spacing w:val="0"/>
          <w:position w:val="0"/>
        </w:rPr>
        <w:t>66</w:t>
      </w:r>
      <w:r w:rsidR="007D256F" w:rsidRPr="00811E8D">
        <w:rPr>
          <w:rFonts w:ascii="Arial" w:hAnsi="Arial" w:cs="Arial"/>
          <w:spacing w:val="0"/>
          <w:position w:val="0"/>
        </w:rPr>
        <w:t>,</w:t>
      </w:r>
      <w:r w:rsidR="00F8418F" w:rsidRPr="00811E8D">
        <w:rPr>
          <w:rFonts w:ascii="Arial" w:hAnsi="Arial" w:cs="Arial"/>
          <w:spacing w:val="0"/>
          <w:position w:val="0"/>
        </w:rPr>
        <w:t>67</w:t>
      </w:r>
      <w:r w:rsidR="007D256F" w:rsidRPr="00811E8D">
        <w:rPr>
          <w:rFonts w:ascii="Arial" w:hAnsi="Arial" w:cs="Arial"/>
          <w:spacing w:val="0"/>
          <w:position w:val="0"/>
        </w:rPr>
        <w:t xml:space="preserve">%). Essa </w:t>
      </w:r>
      <w:r w:rsidR="0045182A" w:rsidRPr="00811E8D">
        <w:rPr>
          <w:rFonts w:ascii="Arial" w:hAnsi="Arial" w:cs="Arial"/>
          <w:spacing w:val="0"/>
          <w:position w:val="0"/>
        </w:rPr>
        <w:t>correlação</w:t>
      </w:r>
      <w:r w:rsidR="007D256F" w:rsidRPr="00811E8D">
        <w:rPr>
          <w:rFonts w:ascii="Arial" w:hAnsi="Arial" w:cs="Arial"/>
          <w:spacing w:val="0"/>
          <w:position w:val="0"/>
        </w:rPr>
        <w:t xml:space="preserve"> indica que quanto maior o PIB e o IDHM, menor a quantidade de doenças </w:t>
      </w:r>
      <w:r w:rsidR="003F1A2D" w:rsidRPr="00811E8D">
        <w:rPr>
          <w:rFonts w:ascii="Arial" w:hAnsi="Arial" w:cs="Arial"/>
          <w:spacing w:val="0"/>
          <w:position w:val="0"/>
        </w:rPr>
        <w:t>ocupacionais</w:t>
      </w:r>
      <w:r w:rsidR="007D256F" w:rsidRPr="00811E8D">
        <w:rPr>
          <w:rFonts w:ascii="Arial" w:hAnsi="Arial" w:cs="Arial"/>
          <w:spacing w:val="0"/>
          <w:position w:val="0"/>
        </w:rPr>
        <w:t xml:space="preserve">, ou quanto </w:t>
      </w:r>
      <w:r w:rsidR="00765B88" w:rsidRPr="00811E8D">
        <w:rPr>
          <w:rFonts w:ascii="Arial" w:hAnsi="Arial" w:cs="Arial"/>
          <w:spacing w:val="0"/>
          <w:position w:val="0"/>
        </w:rPr>
        <w:t xml:space="preserve">menos doenças </w:t>
      </w:r>
      <w:r w:rsidR="003F1A2D" w:rsidRPr="00811E8D">
        <w:rPr>
          <w:rFonts w:ascii="Arial" w:hAnsi="Arial" w:cs="Arial"/>
          <w:spacing w:val="0"/>
          <w:position w:val="0"/>
        </w:rPr>
        <w:t>do trabalho</w:t>
      </w:r>
      <w:r w:rsidR="007D256F" w:rsidRPr="00811E8D">
        <w:rPr>
          <w:rFonts w:ascii="Arial" w:hAnsi="Arial" w:cs="Arial"/>
          <w:spacing w:val="0"/>
          <w:position w:val="0"/>
        </w:rPr>
        <w:t xml:space="preserve">, maior </w:t>
      </w:r>
      <w:r w:rsidR="00765B88" w:rsidRPr="00811E8D">
        <w:rPr>
          <w:rFonts w:ascii="Arial" w:hAnsi="Arial" w:cs="Arial"/>
          <w:spacing w:val="0"/>
          <w:position w:val="0"/>
        </w:rPr>
        <w:t>o PIB e o IDHM</w:t>
      </w:r>
      <w:r w:rsidR="007D256F" w:rsidRPr="00811E8D">
        <w:rPr>
          <w:rFonts w:ascii="Arial" w:hAnsi="Arial" w:cs="Arial"/>
          <w:spacing w:val="0"/>
          <w:position w:val="0"/>
        </w:rPr>
        <w:t xml:space="preserve">. </w:t>
      </w:r>
      <w:r w:rsidR="0045182A" w:rsidRPr="00811E8D">
        <w:rPr>
          <w:rFonts w:ascii="Arial" w:hAnsi="Arial" w:cs="Arial"/>
          <w:spacing w:val="0"/>
          <w:position w:val="0"/>
        </w:rPr>
        <w:t xml:space="preserve">Esse resultado também </w:t>
      </w:r>
      <w:r w:rsidR="007D256F" w:rsidRPr="00811E8D">
        <w:rPr>
          <w:rFonts w:ascii="Arial" w:hAnsi="Arial" w:cs="Arial"/>
          <w:spacing w:val="0"/>
          <w:position w:val="0"/>
        </w:rPr>
        <w:t xml:space="preserve">mostra que quanto </w:t>
      </w:r>
      <w:r w:rsidR="00F8418F" w:rsidRPr="00811E8D">
        <w:rPr>
          <w:rFonts w:ascii="Arial" w:hAnsi="Arial" w:cs="Arial"/>
          <w:spacing w:val="0"/>
          <w:position w:val="0"/>
        </w:rPr>
        <w:t xml:space="preserve">mais desenvolvida a cidade e melhor aplicadas as políticas públicas aliadas a compromissos sociais, mais melhorias na qualidade de vida da população </w:t>
      </w:r>
      <w:r w:rsidR="0045182A" w:rsidRPr="00811E8D">
        <w:rPr>
          <w:rFonts w:ascii="Arial" w:hAnsi="Arial" w:cs="Arial"/>
          <w:spacing w:val="0"/>
          <w:position w:val="0"/>
        </w:rPr>
        <w:t>podem ser</w:t>
      </w:r>
      <w:r w:rsidR="00F8418F" w:rsidRPr="00811E8D">
        <w:rPr>
          <w:rFonts w:ascii="Arial" w:hAnsi="Arial" w:cs="Arial"/>
          <w:spacing w:val="0"/>
          <w:position w:val="0"/>
        </w:rPr>
        <w:t xml:space="preserve"> conquistadas. </w:t>
      </w:r>
    </w:p>
    <w:p w14:paraId="538C0528" w14:textId="5DACAB4B" w:rsidR="006E2A46" w:rsidRPr="00811E8D" w:rsidRDefault="00233995" w:rsidP="008D473A">
      <w:pPr>
        <w:shd w:val="clear" w:color="auto" w:fill="FFFFFF"/>
        <w:spacing w:line="360" w:lineRule="auto"/>
        <w:ind w:firstLine="709"/>
        <w:contextualSpacing/>
        <w:jc w:val="both"/>
        <w:rPr>
          <w:rFonts w:ascii="Arial" w:hAnsi="Arial" w:cs="Arial"/>
          <w:color w:val="000000"/>
          <w:spacing w:val="0"/>
          <w:position w:val="0"/>
          <w:shd w:val="clear" w:color="auto" w:fill="FFFFFF"/>
        </w:rPr>
      </w:pPr>
      <w:r w:rsidRPr="00811E8D">
        <w:rPr>
          <w:rFonts w:ascii="Arial" w:hAnsi="Arial" w:cs="Arial"/>
          <w:spacing w:val="0"/>
          <w:position w:val="0"/>
        </w:rPr>
        <w:t>Esse resultado vai de encontro com a premissa de que u</w:t>
      </w:r>
      <w:r w:rsidR="006E2A46" w:rsidRPr="00811E8D">
        <w:rPr>
          <w:rFonts w:ascii="Arial" w:hAnsi="Arial" w:cs="Arial"/>
          <w:spacing w:val="0"/>
          <w:position w:val="0"/>
        </w:rPr>
        <w:t>ma das melhores maneiras para se reduzir os casos de doenças ocupacionais é atuar na identificação de fatores de risco, a fim de prevenir os distúrbios</w:t>
      </w:r>
      <w:r w:rsidR="004F5A8C">
        <w:rPr>
          <w:rFonts w:ascii="Arial" w:hAnsi="Arial" w:cs="Arial"/>
          <w:spacing w:val="0"/>
          <w:position w:val="0"/>
        </w:rPr>
        <w:t xml:space="preserve"> (SHAWN et al., 2011)</w:t>
      </w:r>
      <w:r w:rsidR="006E2A46" w:rsidRPr="00811E8D">
        <w:rPr>
          <w:rFonts w:ascii="Arial" w:hAnsi="Arial" w:cs="Arial"/>
          <w:spacing w:val="0"/>
          <w:position w:val="0"/>
        </w:rPr>
        <w:t xml:space="preserve">. Para isso </w:t>
      </w:r>
      <w:r w:rsidR="00D55434" w:rsidRPr="00811E8D">
        <w:rPr>
          <w:rFonts w:ascii="Arial" w:hAnsi="Arial" w:cs="Arial"/>
          <w:spacing w:val="0"/>
          <w:position w:val="0"/>
        </w:rPr>
        <w:t xml:space="preserve">são </w:t>
      </w:r>
      <w:r w:rsidR="006E2A46" w:rsidRPr="00811E8D">
        <w:rPr>
          <w:rFonts w:ascii="Arial" w:hAnsi="Arial" w:cs="Arial"/>
          <w:spacing w:val="0"/>
          <w:position w:val="0"/>
        </w:rPr>
        <w:t>necessário</w:t>
      </w:r>
      <w:r w:rsidR="00D55434" w:rsidRPr="00811E8D">
        <w:rPr>
          <w:rFonts w:ascii="Arial" w:hAnsi="Arial" w:cs="Arial"/>
          <w:spacing w:val="0"/>
          <w:position w:val="0"/>
        </w:rPr>
        <w:t>s</w:t>
      </w:r>
      <w:r w:rsidR="006E2A46" w:rsidRPr="00811E8D">
        <w:rPr>
          <w:rFonts w:ascii="Arial" w:hAnsi="Arial" w:cs="Arial"/>
          <w:spacing w:val="0"/>
          <w:position w:val="0"/>
        </w:rPr>
        <w:t xml:space="preserve"> a elaboração de programas ergonômicos</w:t>
      </w:r>
      <w:r w:rsidR="00D55434" w:rsidRPr="00811E8D">
        <w:rPr>
          <w:rFonts w:ascii="Arial" w:hAnsi="Arial" w:cs="Arial"/>
          <w:spacing w:val="0"/>
          <w:position w:val="0"/>
        </w:rPr>
        <w:t xml:space="preserve"> e a promoção da saúde</w:t>
      </w:r>
      <w:r w:rsidR="006E2A46" w:rsidRPr="00811E8D">
        <w:rPr>
          <w:rFonts w:ascii="Arial" w:hAnsi="Arial" w:cs="Arial"/>
          <w:spacing w:val="0"/>
          <w:position w:val="0"/>
        </w:rPr>
        <w:t xml:space="preserve"> nos ambientes </w:t>
      </w:r>
      <w:r w:rsidR="00D55434" w:rsidRPr="00811E8D">
        <w:rPr>
          <w:rFonts w:ascii="Arial" w:hAnsi="Arial" w:cs="Arial"/>
          <w:spacing w:val="0"/>
          <w:position w:val="0"/>
        </w:rPr>
        <w:t>laborais</w:t>
      </w:r>
      <w:r w:rsidR="006E2A46" w:rsidRPr="00811E8D">
        <w:rPr>
          <w:rFonts w:ascii="Arial" w:hAnsi="Arial" w:cs="Arial"/>
          <w:spacing w:val="0"/>
          <w:position w:val="0"/>
        </w:rPr>
        <w:t>,</w:t>
      </w:r>
      <w:r w:rsidR="00D55434" w:rsidRPr="00811E8D">
        <w:rPr>
          <w:rFonts w:ascii="Arial" w:hAnsi="Arial" w:cs="Arial"/>
          <w:spacing w:val="0"/>
          <w:position w:val="0"/>
        </w:rPr>
        <w:t xml:space="preserve"> garantindo</w:t>
      </w:r>
      <w:r w:rsidR="006E2A46" w:rsidRPr="00811E8D">
        <w:rPr>
          <w:rFonts w:ascii="Arial" w:hAnsi="Arial" w:cs="Arial"/>
          <w:spacing w:val="0"/>
          <w:position w:val="0"/>
        </w:rPr>
        <w:t xml:space="preserve"> </w:t>
      </w:r>
      <w:r w:rsidR="00D55434" w:rsidRPr="00811E8D">
        <w:rPr>
          <w:rFonts w:ascii="Arial" w:hAnsi="Arial" w:cs="Arial"/>
          <w:spacing w:val="0"/>
          <w:position w:val="0"/>
        </w:rPr>
        <w:t>a segurança do trabalho</w:t>
      </w:r>
      <w:r w:rsidR="004F5A8C">
        <w:rPr>
          <w:rFonts w:ascii="Arial" w:hAnsi="Arial" w:cs="Arial"/>
          <w:spacing w:val="0"/>
          <w:position w:val="0"/>
        </w:rPr>
        <w:t xml:space="preserve"> (CHIKOTAS; PARKS; OLSZEWSKI, 2007; GRAYSON et al., 2005)</w:t>
      </w:r>
      <w:r w:rsidR="00D55434" w:rsidRPr="00811E8D">
        <w:rPr>
          <w:rFonts w:ascii="Arial" w:hAnsi="Arial" w:cs="Arial"/>
          <w:spacing w:val="0"/>
          <w:position w:val="0"/>
        </w:rPr>
        <w:t>.</w:t>
      </w:r>
    </w:p>
    <w:p w14:paraId="51C78990" w14:textId="1F283288" w:rsidR="005E486C" w:rsidRDefault="003F5923" w:rsidP="00537445">
      <w:pPr>
        <w:spacing w:line="360" w:lineRule="auto"/>
        <w:ind w:firstLine="709"/>
        <w:contextualSpacing/>
        <w:jc w:val="both"/>
        <w:rPr>
          <w:rFonts w:ascii="Arial" w:hAnsi="Arial" w:cs="Arial"/>
          <w:color w:val="000000"/>
          <w:spacing w:val="0"/>
          <w:position w:val="0"/>
          <w:shd w:val="clear" w:color="auto" w:fill="FFFFFF"/>
        </w:rPr>
      </w:pPr>
      <w:r w:rsidRPr="00811E8D">
        <w:rPr>
          <w:rFonts w:ascii="Arial" w:hAnsi="Arial" w:cs="Arial"/>
          <w:spacing w:val="0"/>
          <w:position w:val="0"/>
        </w:rPr>
        <w:t>S</w:t>
      </w:r>
      <w:r w:rsidR="00431612" w:rsidRPr="00811E8D">
        <w:rPr>
          <w:rFonts w:ascii="Arial" w:hAnsi="Arial" w:cs="Arial"/>
          <w:spacing w:val="0"/>
          <w:position w:val="0"/>
        </w:rPr>
        <w:t>obre o aspecto econômico</w:t>
      </w:r>
      <w:r w:rsidRPr="00811E8D">
        <w:rPr>
          <w:rFonts w:ascii="Arial" w:hAnsi="Arial" w:cs="Arial"/>
          <w:spacing w:val="0"/>
          <w:position w:val="0"/>
        </w:rPr>
        <w:t xml:space="preserve"> também </w:t>
      </w:r>
      <w:r w:rsidR="0045182A" w:rsidRPr="00811E8D">
        <w:rPr>
          <w:rFonts w:ascii="Arial" w:hAnsi="Arial" w:cs="Arial"/>
          <w:spacing w:val="0"/>
          <w:position w:val="0"/>
        </w:rPr>
        <w:t xml:space="preserve">foram analisados os </w:t>
      </w:r>
      <w:r w:rsidR="000413A3" w:rsidRPr="00811E8D">
        <w:rPr>
          <w:rFonts w:ascii="Arial" w:hAnsi="Arial" w:cs="Arial"/>
          <w:spacing w:val="0"/>
          <w:position w:val="0"/>
        </w:rPr>
        <w:t xml:space="preserve">CNAE </w:t>
      </w:r>
      <w:r w:rsidR="00B93316" w:rsidRPr="004F5A8C">
        <w:rPr>
          <w:rFonts w:ascii="Arial" w:hAnsi="Arial" w:cs="Arial"/>
          <w:spacing w:val="0"/>
          <w:position w:val="0"/>
        </w:rPr>
        <w:t xml:space="preserve">(Tabela 2) </w:t>
      </w:r>
      <w:r w:rsidR="000413A3" w:rsidRPr="004F5A8C">
        <w:rPr>
          <w:rFonts w:ascii="Arial" w:hAnsi="Arial" w:cs="Arial"/>
          <w:spacing w:val="0"/>
          <w:position w:val="0"/>
        </w:rPr>
        <w:t>com mais registros no mesmo período de 2016</w:t>
      </w:r>
      <w:r w:rsidR="000413A3" w:rsidRPr="00811E8D">
        <w:rPr>
          <w:rFonts w:ascii="Arial" w:hAnsi="Arial" w:cs="Arial"/>
          <w:spacing w:val="0"/>
          <w:position w:val="0"/>
        </w:rPr>
        <w:t xml:space="preserve"> a 2018 a nível estadual.</w:t>
      </w:r>
      <w:r w:rsidR="00537445">
        <w:rPr>
          <w:rFonts w:ascii="Arial" w:hAnsi="Arial" w:cs="Arial"/>
          <w:spacing w:val="0"/>
          <w:position w:val="0"/>
        </w:rPr>
        <w:t xml:space="preserve"> </w:t>
      </w:r>
      <w:r w:rsidR="00537445">
        <w:rPr>
          <w:rFonts w:ascii="Arial" w:hAnsi="Arial" w:cs="Arial"/>
          <w:color w:val="000000"/>
          <w:spacing w:val="0"/>
          <w:position w:val="0"/>
          <w:shd w:val="clear" w:color="auto" w:fill="FFFFFF"/>
        </w:rPr>
        <w:t>Dentre as</w:t>
      </w:r>
      <w:r w:rsidR="005E486C" w:rsidRPr="00811E8D">
        <w:rPr>
          <w:rFonts w:ascii="Arial" w:hAnsi="Arial" w:cs="Arial"/>
          <w:color w:val="000000"/>
          <w:spacing w:val="0"/>
          <w:position w:val="0"/>
          <w:shd w:val="clear" w:color="auto" w:fill="FFFFFF"/>
        </w:rPr>
        <w:t xml:space="preserve"> atividades econômicas, a faixa etária mais atingida pelas doenças ocupacionais no Estado </w:t>
      </w:r>
      <w:r w:rsidR="00537445">
        <w:rPr>
          <w:rFonts w:ascii="Arial" w:hAnsi="Arial" w:cs="Arial"/>
          <w:color w:val="000000"/>
          <w:spacing w:val="0"/>
          <w:position w:val="0"/>
          <w:shd w:val="clear" w:color="auto" w:fill="FFFFFF"/>
        </w:rPr>
        <w:t xml:space="preserve">de São Paulo </w:t>
      </w:r>
      <w:r w:rsidR="005E486C" w:rsidRPr="00811E8D">
        <w:rPr>
          <w:rFonts w:ascii="Arial" w:hAnsi="Arial" w:cs="Arial"/>
          <w:color w:val="000000"/>
          <w:spacing w:val="0"/>
          <w:position w:val="0"/>
          <w:shd w:val="clear" w:color="auto" w:fill="FFFFFF"/>
        </w:rPr>
        <w:t>foi de 35 a 39 anos de idade, com aproximadamente 20% do total dos registros. As demais faixas etárias com maior incidência foram 30 a 34 anos (15,26%), 45 a 49 anos (15,52%) e 40 a 44 anos (17,79%). Vale ressaltar que no período analisado também foi observada uma redução anual contínua do número de registros de doenças do trabalho.</w:t>
      </w:r>
    </w:p>
    <w:p w14:paraId="64274DCA" w14:textId="52E03C09" w:rsidR="00537445" w:rsidRDefault="00537445" w:rsidP="00537445">
      <w:pPr>
        <w:spacing w:line="360" w:lineRule="auto"/>
        <w:ind w:firstLine="709"/>
        <w:contextualSpacing/>
        <w:jc w:val="both"/>
        <w:rPr>
          <w:rFonts w:ascii="Arial" w:hAnsi="Arial" w:cs="Arial"/>
          <w:color w:val="000000"/>
          <w:spacing w:val="0"/>
          <w:position w:val="0"/>
          <w:shd w:val="clear" w:color="auto" w:fill="FFFFFF"/>
        </w:rPr>
      </w:pPr>
    </w:p>
    <w:p w14:paraId="7F6C168F" w14:textId="77777777" w:rsidR="00537445" w:rsidRPr="00811E8D" w:rsidRDefault="00537445" w:rsidP="00537445">
      <w:pPr>
        <w:spacing w:line="360" w:lineRule="auto"/>
        <w:ind w:firstLine="709"/>
        <w:contextualSpacing/>
        <w:jc w:val="both"/>
        <w:rPr>
          <w:rFonts w:ascii="Arial" w:hAnsi="Arial" w:cs="Arial"/>
          <w:color w:val="000000"/>
          <w:spacing w:val="0"/>
          <w:position w:val="0"/>
          <w:shd w:val="clear" w:color="auto" w:fill="FFFFFF"/>
        </w:rPr>
      </w:pPr>
    </w:p>
    <w:p w14:paraId="715548C9" w14:textId="07974891" w:rsidR="005E486C" w:rsidRDefault="005E486C">
      <w:pPr>
        <w:rPr>
          <w:rFonts w:ascii="Arial" w:hAnsi="Arial" w:cs="Arial"/>
          <w:spacing w:val="0"/>
          <w:position w:val="0"/>
        </w:rPr>
      </w:pPr>
    </w:p>
    <w:p w14:paraId="6C1BA7AD" w14:textId="2DB7251D" w:rsidR="000413A3" w:rsidRPr="004F5A8C" w:rsidRDefault="000413A3" w:rsidP="004F5A8C">
      <w:pPr>
        <w:shd w:val="clear" w:color="auto" w:fill="FFFFFF"/>
        <w:rPr>
          <w:rFonts w:ascii="Arial" w:hAnsi="Arial" w:cs="Arial"/>
          <w:b/>
          <w:bCs/>
          <w:spacing w:val="0"/>
          <w:position w:val="0"/>
        </w:rPr>
      </w:pPr>
      <w:r w:rsidRPr="004F5A8C">
        <w:rPr>
          <w:rFonts w:ascii="Arial" w:hAnsi="Arial" w:cs="Arial"/>
          <w:b/>
          <w:bCs/>
          <w:color w:val="000000"/>
          <w:spacing w:val="0"/>
          <w:position w:val="0"/>
        </w:rPr>
        <w:t xml:space="preserve">Tabela </w:t>
      </w:r>
      <w:r w:rsidR="009021A2" w:rsidRPr="004F5A8C">
        <w:rPr>
          <w:rFonts w:ascii="Arial" w:hAnsi="Arial" w:cs="Arial"/>
          <w:b/>
          <w:bCs/>
          <w:color w:val="000000"/>
          <w:spacing w:val="0"/>
          <w:position w:val="0"/>
        </w:rPr>
        <w:t>2</w:t>
      </w:r>
      <w:r w:rsidR="004F5A8C" w:rsidRPr="004F5A8C">
        <w:rPr>
          <w:rFonts w:ascii="Arial" w:hAnsi="Arial" w:cs="Arial"/>
          <w:b/>
          <w:bCs/>
          <w:color w:val="000000"/>
          <w:spacing w:val="0"/>
          <w:position w:val="0"/>
        </w:rPr>
        <w:t xml:space="preserve">: </w:t>
      </w:r>
      <w:r w:rsidR="00C1631D" w:rsidRPr="004F5A8C">
        <w:rPr>
          <w:rFonts w:ascii="Arial" w:hAnsi="Arial" w:cs="Arial"/>
          <w:b/>
          <w:bCs/>
          <w:color w:val="000000"/>
          <w:spacing w:val="0"/>
          <w:position w:val="0"/>
        </w:rPr>
        <w:t>D</w:t>
      </w:r>
      <w:r w:rsidRPr="004F5A8C">
        <w:rPr>
          <w:rFonts w:ascii="Arial" w:hAnsi="Arial" w:cs="Arial"/>
          <w:b/>
          <w:bCs/>
          <w:color w:val="000000"/>
          <w:spacing w:val="0"/>
          <w:position w:val="0"/>
        </w:rPr>
        <w:t>oenças ocupacionais por CNAE de 2016 a 2018 no Estado de São Paulo.</w:t>
      </w:r>
    </w:p>
    <w:tbl>
      <w:tblPr>
        <w:tblW w:w="5000" w:type="pct"/>
        <w:tblCellMar>
          <w:left w:w="70" w:type="dxa"/>
          <w:right w:w="70" w:type="dxa"/>
        </w:tblCellMar>
        <w:tblLook w:val="04A0" w:firstRow="1" w:lastRow="0" w:firstColumn="1" w:lastColumn="0" w:noHBand="0" w:noVBand="1"/>
      </w:tblPr>
      <w:tblGrid>
        <w:gridCol w:w="4814"/>
        <w:gridCol w:w="860"/>
        <w:gridCol w:w="860"/>
        <w:gridCol w:w="1085"/>
        <w:gridCol w:w="278"/>
        <w:gridCol w:w="1174"/>
      </w:tblGrid>
      <w:tr w:rsidR="00763C1C" w:rsidRPr="00763C1C" w14:paraId="6CF06DE0" w14:textId="77777777" w:rsidTr="00763C1C">
        <w:trPr>
          <w:trHeight w:hRule="exact" w:val="284"/>
        </w:trPr>
        <w:tc>
          <w:tcPr>
            <w:tcW w:w="2653" w:type="pct"/>
            <w:vMerge w:val="restart"/>
            <w:tcBorders>
              <w:top w:val="single" w:sz="4" w:space="0" w:color="auto"/>
              <w:left w:val="nil"/>
              <w:bottom w:val="single" w:sz="4" w:space="0" w:color="000000"/>
              <w:right w:val="nil"/>
            </w:tcBorders>
            <w:shd w:val="clear" w:color="000000" w:fill="FFFFFF"/>
            <w:vAlign w:val="center"/>
            <w:hideMark/>
          </w:tcPr>
          <w:p w14:paraId="286E8640" w14:textId="77777777" w:rsidR="00763C1C" w:rsidRPr="00763C1C" w:rsidRDefault="00763C1C" w:rsidP="00AD2E13">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CNAE</w:t>
            </w:r>
          </w:p>
        </w:tc>
        <w:tc>
          <w:tcPr>
            <w:tcW w:w="474" w:type="pct"/>
            <w:vMerge w:val="restart"/>
            <w:tcBorders>
              <w:top w:val="single" w:sz="4" w:space="0" w:color="auto"/>
              <w:left w:val="nil"/>
              <w:bottom w:val="single" w:sz="4" w:space="0" w:color="000000"/>
              <w:right w:val="nil"/>
            </w:tcBorders>
            <w:shd w:val="clear" w:color="000000" w:fill="FFFFFF"/>
            <w:vAlign w:val="center"/>
            <w:hideMark/>
          </w:tcPr>
          <w:p w14:paraId="1434BAC3"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Total</w:t>
            </w:r>
          </w:p>
        </w:tc>
        <w:tc>
          <w:tcPr>
            <w:tcW w:w="474" w:type="pct"/>
            <w:vMerge w:val="restart"/>
            <w:tcBorders>
              <w:top w:val="single" w:sz="4" w:space="0" w:color="auto"/>
              <w:left w:val="nil"/>
              <w:bottom w:val="single" w:sz="4" w:space="0" w:color="000000"/>
              <w:right w:val="nil"/>
            </w:tcBorders>
            <w:shd w:val="clear" w:color="000000" w:fill="FFFFFF"/>
            <w:vAlign w:val="center"/>
            <w:hideMark/>
          </w:tcPr>
          <w:p w14:paraId="45ED7CAB"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w:t>
            </w:r>
          </w:p>
        </w:tc>
        <w:tc>
          <w:tcPr>
            <w:tcW w:w="1398" w:type="pct"/>
            <w:gridSpan w:val="3"/>
            <w:vMerge w:val="restart"/>
            <w:tcBorders>
              <w:top w:val="single" w:sz="4" w:space="0" w:color="auto"/>
              <w:left w:val="nil"/>
              <w:bottom w:val="single" w:sz="4" w:space="0" w:color="000000"/>
              <w:right w:val="nil"/>
            </w:tcBorders>
            <w:shd w:val="clear" w:color="000000" w:fill="FFFFFF"/>
            <w:vAlign w:val="center"/>
            <w:hideMark/>
          </w:tcPr>
          <w:p w14:paraId="42D47DF1" w14:textId="433C342B"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Média*</w:t>
            </w:r>
          </w:p>
        </w:tc>
      </w:tr>
      <w:tr w:rsidR="00763C1C" w:rsidRPr="00763C1C" w14:paraId="78CAD761" w14:textId="77777777" w:rsidTr="00EF7F19">
        <w:trPr>
          <w:trHeight w:hRule="exact" w:val="83"/>
        </w:trPr>
        <w:tc>
          <w:tcPr>
            <w:tcW w:w="2653" w:type="pct"/>
            <w:vMerge/>
            <w:tcBorders>
              <w:top w:val="single" w:sz="4" w:space="0" w:color="auto"/>
              <w:left w:val="nil"/>
              <w:bottom w:val="single" w:sz="4" w:space="0" w:color="000000"/>
              <w:right w:val="nil"/>
            </w:tcBorders>
            <w:vAlign w:val="center"/>
            <w:hideMark/>
          </w:tcPr>
          <w:p w14:paraId="5EB416B8" w14:textId="77777777" w:rsidR="00763C1C" w:rsidRPr="00763C1C" w:rsidRDefault="00763C1C" w:rsidP="00AD2E13">
            <w:pPr>
              <w:rPr>
                <w:rFonts w:ascii="Arial" w:hAnsi="Arial" w:cs="Arial"/>
                <w:b/>
                <w:bCs/>
                <w:color w:val="000000"/>
                <w:spacing w:val="0"/>
                <w:position w:val="0"/>
                <w:sz w:val="22"/>
                <w:szCs w:val="22"/>
              </w:rPr>
            </w:pPr>
          </w:p>
        </w:tc>
        <w:tc>
          <w:tcPr>
            <w:tcW w:w="474" w:type="pct"/>
            <w:vMerge/>
            <w:tcBorders>
              <w:top w:val="single" w:sz="4" w:space="0" w:color="auto"/>
              <w:left w:val="nil"/>
              <w:bottom w:val="single" w:sz="4" w:space="0" w:color="000000"/>
              <w:right w:val="nil"/>
            </w:tcBorders>
            <w:vAlign w:val="center"/>
            <w:hideMark/>
          </w:tcPr>
          <w:p w14:paraId="15264D27" w14:textId="77777777" w:rsidR="00763C1C" w:rsidRPr="00763C1C" w:rsidRDefault="00763C1C" w:rsidP="00763C1C">
            <w:pPr>
              <w:jc w:val="center"/>
              <w:rPr>
                <w:rFonts w:ascii="Arial" w:hAnsi="Arial" w:cs="Arial"/>
                <w:b/>
                <w:bCs/>
                <w:color w:val="000000"/>
                <w:spacing w:val="0"/>
                <w:position w:val="0"/>
                <w:sz w:val="22"/>
                <w:szCs w:val="22"/>
              </w:rPr>
            </w:pPr>
          </w:p>
        </w:tc>
        <w:tc>
          <w:tcPr>
            <w:tcW w:w="474" w:type="pct"/>
            <w:vMerge/>
            <w:tcBorders>
              <w:top w:val="single" w:sz="4" w:space="0" w:color="auto"/>
              <w:left w:val="nil"/>
              <w:bottom w:val="single" w:sz="4" w:space="0" w:color="000000"/>
              <w:right w:val="nil"/>
            </w:tcBorders>
            <w:vAlign w:val="center"/>
            <w:hideMark/>
          </w:tcPr>
          <w:p w14:paraId="796A7C8C" w14:textId="77777777" w:rsidR="00763C1C" w:rsidRPr="00763C1C" w:rsidRDefault="00763C1C" w:rsidP="00763C1C">
            <w:pPr>
              <w:jc w:val="center"/>
              <w:rPr>
                <w:rFonts w:ascii="Arial" w:hAnsi="Arial" w:cs="Arial"/>
                <w:b/>
                <w:bCs/>
                <w:color w:val="000000"/>
                <w:spacing w:val="0"/>
                <w:position w:val="0"/>
                <w:sz w:val="22"/>
                <w:szCs w:val="22"/>
              </w:rPr>
            </w:pPr>
          </w:p>
        </w:tc>
        <w:tc>
          <w:tcPr>
            <w:tcW w:w="1398" w:type="pct"/>
            <w:gridSpan w:val="3"/>
            <w:vMerge/>
            <w:tcBorders>
              <w:top w:val="single" w:sz="4" w:space="0" w:color="auto"/>
              <w:left w:val="nil"/>
              <w:bottom w:val="single" w:sz="4" w:space="0" w:color="000000"/>
              <w:right w:val="nil"/>
            </w:tcBorders>
            <w:vAlign w:val="center"/>
            <w:hideMark/>
          </w:tcPr>
          <w:p w14:paraId="05390D96" w14:textId="77777777" w:rsidR="00763C1C" w:rsidRPr="00763C1C" w:rsidRDefault="00763C1C" w:rsidP="00763C1C">
            <w:pPr>
              <w:jc w:val="center"/>
              <w:rPr>
                <w:rFonts w:ascii="Arial" w:hAnsi="Arial" w:cs="Arial"/>
                <w:b/>
                <w:bCs/>
                <w:color w:val="000000"/>
                <w:spacing w:val="0"/>
                <w:position w:val="0"/>
                <w:sz w:val="22"/>
                <w:szCs w:val="22"/>
              </w:rPr>
            </w:pPr>
          </w:p>
        </w:tc>
      </w:tr>
      <w:tr w:rsidR="00763C1C" w:rsidRPr="00763C1C" w14:paraId="1FE7BCA8" w14:textId="77777777" w:rsidTr="00763C1C">
        <w:trPr>
          <w:trHeight w:hRule="exact" w:val="284"/>
        </w:trPr>
        <w:tc>
          <w:tcPr>
            <w:tcW w:w="2653" w:type="pct"/>
            <w:tcBorders>
              <w:top w:val="nil"/>
              <w:left w:val="nil"/>
              <w:bottom w:val="nil"/>
              <w:right w:val="nil"/>
            </w:tcBorders>
            <w:shd w:val="clear" w:color="000000" w:fill="FFFFFF"/>
            <w:vAlign w:val="center"/>
            <w:hideMark/>
          </w:tcPr>
          <w:p w14:paraId="18B5A4AB" w14:textId="147F64F4"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6422 - Bancos múltiplos</w:t>
            </w:r>
          </w:p>
        </w:tc>
        <w:tc>
          <w:tcPr>
            <w:tcW w:w="474" w:type="pct"/>
            <w:tcBorders>
              <w:top w:val="nil"/>
              <w:left w:val="nil"/>
              <w:bottom w:val="nil"/>
              <w:right w:val="nil"/>
            </w:tcBorders>
            <w:shd w:val="clear" w:color="000000" w:fill="FFFFFF"/>
            <w:vAlign w:val="center"/>
            <w:hideMark/>
          </w:tcPr>
          <w:p w14:paraId="5AE42C77"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1.720</w:t>
            </w:r>
          </w:p>
        </w:tc>
        <w:tc>
          <w:tcPr>
            <w:tcW w:w="474" w:type="pct"/>
            <w:tcBorders>
              <w:top w:val="nil"/>
              <w:left w:val="nil"/>
              <w:bottom w:val="nil"/>
              <w:right w:val="nil"/>
            </w:tcBorders>
            <w:shd w:val="clear" w:color="000000" w:fill="FFFFFF"/>
            <w:vAlign w:val="center"/>
            <w:hideMark/>
          </w:tcPr>
          <w:p w14:paraId="7E8AA512" w14:textId="151ADFC4"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15,13</w:t>
            </w:r>
          </w:p>
        </w:tc>
        <w:tc>
          <w:tcPr>
            <w:tcW w:w="598" w:type="pct"/>
            <w:tcBorders>
              <w:top w:val="nil"/>
              <w:left w:val="nil"/>
              <w:bottom w:val="nil"/>
              <w:right w:val="nil"/>
            </w:tcBorders>
            <w:shd w:val="clear" w:color="000000" w:fill="FFFFFF"/>
            <w:vAlign w:val="center"/>
            <w:hideMark/>
          </w:tcPr>
          <w:p w14:paraId="27EBAD8F"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573,33</w:t>
            </w:r>
          </w:p>
        </w:tc>
        <w:tc>
          <w:tcPr>
            <w:tcW w:w="153" w:type="pct"/>
            <w:tcBorders>
              <w:top w:val="nil"/>
              <w:left w:val="nil"/>
              <w:bottom w:val="nil"/>
              <w:right w:val="nil"/>
            </w:tcBorders>
            <w:shd w:val="clear" w:color="000000" w:fill="FFFFFF"/>
            <w:noWrap/>
            <w:vAlign w:val="center"/>
            <w:hideMark/>
          </w:tcPr>
          <w:p w14:paraId="176E10E8"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748B5278"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137,54</w:t>
            </w:r>
          </w:p>
        </w:tc>
      </w:tr>
      <w:tr w:rsidR="00763C1C" w:rsidRPr="00763C1C" w14:paraId="3B7BB0D4" w14:textId="77777777" w:rsidTr="00763C1C">
        <w:trPr>
          <w:trHeight w:hRule="exact" w:val="284"/>
        </w:trPr>
        <w:tc>
          <w:tcPr>
            <w:tcW w:w="2653" w:type="pct"/>
            <w:tcBorders>
              <w:top w:val="nil"/>
              <w:left w:val="nil"/>
              <w:bottom w:val="nil"/>
              <w:right w:val="nil"/>
            </w:tcBorders>
            <w:shd w:val="clear" w:color="auto" w:fill="F2F2F2" w:themeFill="background1" w:themeFillShade="F2"/>
            <w:vAlign w:val="center"/>
            <w:hideMark/>
          </w:tcPr>
          <w:p w14:paraId="183D44A3" w14:textId="107A9F73"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5310 - Atividades de Correio</w:t>
            </w:r>
          </w:p>
        </w:tc>
        <w:tc>
          <w:tcPr>
            <w:tcW w:w="474" w:type="pct"/>
            <w:tcBorders>
              <w:top w:val="nil"/>
              <w:left w:val="nil"/>
              <w:bottom w:val="nil"/>
              <w:right w:val="nil"/>
            </w:tcBorders>
            <w:shd w:val="clear" w:color="auto" w:fill="F2F2F2" w:themeFill="background1" w:themeFillShade="F2"/>
            <w:vAlign w:val="center"/>
            <w:hideMark/>
          </w:tcPr>
          <w:p w14:paraId="5EBCE32F"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859</w:t>
            </w:r>
          </w:p>
        </w:tc>
        <w:tc>
          <w:tcPr>
            <w:tcW w:w="474" w:type="pct"/>
            <w:tcBorders>
              <w:top w:val="nil"/>
              <w:left w:val="nil"/>
              <w:bottom w:val="nil"/>
              <w:right w:val="nil"/>
            </w:tcBorders>
            <w:shd w:val="clear" w:color="auto" w:fill="F2F2F2" w:themeFill="background1" w:themeFillShade="F2"/>
            <w:vAlign w:val="center"/>
            <w:hideMark/>
          </w:tcPr>
          <w:p w14:paraId="0F647551" w14:textId="43071A2D"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7,56</w:t>
            </w:r>
          </w:p>
        </w:tc>
        <w:tc>
          <w:tcPr>
            <w:tcW w:w="598" w:type="pct"/>
            <w:tcBorders>
              <w:top w:val="nil"/>
              <w:left w:val="nil"/>
              <w:bottom w:val="nil"/>
              <w:right w:val="nil"/>
            </w:tcBorders>
            <w:shd w:val="clear" w:color="auto" w:fill="F2F2F2" w:themeFill="background1" w:themeFillShade="F2"/>
            <w:vAlign w:val="center"/>
            <w:hideMark/>
          </w:tcPr>
          <w:p w14:paraId="1BF565D7"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286,33</w:t>
            </w:r>
          </w:p>
        </w:tc>
        <w:tc>
          <w:tcPr>
            <w:tcW w:w="153" w:type="pct"/>
            <w:tcBorders>
              <w:top w:val="nil"/>
              <w:left w:val="nil"/>
              <w:bottom w:val="nil"/>
              <w:right w:val="nil"/>
            </w:tcBorders>
            <w:shd w:val="clear" w:color="auto" w:fill="F2F2F2" w:themeFill="background1" w:themeFillShade="F2"/>
            <w:noWrap/>
            <w:vAlign w:val="center"/>
            <w:hideMark/>
          </w:tcPr>
          <w:p w14:paraId="3050B289"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auto" w:fill="F2F2F2" w:themeFill="background1" w:themeFillShade="F2"/>
            <w:noWrap/>
            <w:vAlign w:val="center"/>
            <w:hideMark/>
          </w:tcPr>
          <w:p w14:paraId="22DE0BE9"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95,44</w:t>
            </w:r>
          </w:p>
        </w:tc>
      </w:tr>
      <w:tr w:rsidR="00763C1C" w:rsidRPr="00763C1C" w14:paraId="4CB85A52" w14:textId="77777777" w:rsidTr="00763C1C">
        <w:trPr>
          <w:trHeight w:hRule="exact" w:val="284"/>
        </w:trPr>
        <w:tc>
          <w:tcPr>
            <w:tcW w:w="2653" w:type="pct"/>
            <w:tcBorders>
              <w:top w:val="nil"/>
              <w:left w:val="nil"/>
              <w:bottom w:val="nil"/>
              <w:right w:val="nil"/>
            </w:tcBorders>
            <w:shd w:val="clear" w:color="000000" w:fill="FFFFFF"/>
            <w:vAlign w:val="center"/>
            <w:hideMark/>
          </w:tcPr>
          <w:p w14:paraId="133B7DED" w14:textId="7E1D44AA"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2910 - Fabricação de automóveis</w:t>
            </w:r>
          </w:p>
        </w:tc>
        <w:tc>
          <w:tcPr>
            <w:tcW w:w="474" w:type="pct"/>
            <w:tcBorders>
              <w:top w:val="nil"/>
              <w:left w:val="nil"/>
              <w:bottom w:val="nil"/>
              <w:right w:val="nil"/>
            </w:tcBorders>
            <w:shd w:val="clear" w:color="000000" w:fill="FFFFFF"/>
            <w:vAlign w:val="center"/>
            <w:hideMark/>
          </w:tcPr>
          <w:p w14:paraId="4152CAF8"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576</w:t>
            </w:r>
          </w:p>
        </w:tc>
        <w:tc>
          <w:tcPr>
            <w:tcW w:w="474" w:type="pct"/>
            <w:tcBorders>
              <w:top w:val="nil"/>
              <w:left w:val="nil"/>
              <w:bottom w:val="nil"/>
              <w:right w:val="nil"/>
            </w:tcBorders>
            <w:shd w:val="clear" w:color="000000" w:fill="FFFFFF"/>
            <w:vAlign w:val="center"/>
            <w:hideMark/>
          </w:tcPr>
          <w:p w14:paraId="204162CA" w14:textId="0283FE21"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5,07</w:t>
            </w:r>
          </w:p>
        </w:tc>
        <w:tc>
          <w:tcPr>
            <w:tcW w:w="598" w:type="pct"/>
            <w:tcBorders>
              <w:top w:val="nil"/>
              <w:left w:val="nil"/>
              <w:bottom w:val="nil"/>
              <w:right w:val="nil"/>
            </w:tcBorders>
            <w:shd w:val="clear" w:color="000000" w:fill="FFFFFF"/>
            <w:vAlign w:val="center"/>
            <w:hideMark/>
          </w:tcPr>
          <w:p w14:paraId="077798EE"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192,00</w:t>
            </w:r>
          </w:p>
        </w:tc>
        <w:tc>
          <w:tcPr>
            <w:tcW w:w="153" w:type="pct"/>
            <w:tcBorders>
              <w:top w:val="nil"/>
              <w:left w:val="nil"/>
              <w:bottom w:val="nil"/>
              <w:right w:val="nil"/>
            </w:tcBorders>
            <w:shd w:val="clear" w:color="000000" w:fill="FFFFFF"/>
            <w:noWrap/>
            <w:vAlign w:val="center"/>
            <w:hideMark/>
          </w:tcPr>
          <w:p w14:paraId="1232A91F"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3C8EC8C1"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109,01</w:t>
            </w:r>
          </w:p>
        </w:tc>
      </w:tr>
      <w:tr w:rsidR="00763C1C" w:rsidRPr="00763C1C" w14:paraId="7E463881" w14:textId="77777777" w:rsidTr="00763C1C">
        <w:trPr>
          <w:trHeight w:hRule="exact" w:val="284"/>
        </w:trPr>
        <w:tc>
          <w:tcPr>
            <w:tcW w:w="2653" w:type="pct"/>
            <w:tcBorders>
              <w:top w:val="nil"/>
              <w:left w:val="nil"/>
              <w:bottom w:val="nil"/>
              <w:right w:val="nil"/>
            </w:tcBorders>
            <w:shd w:val="clear" w:color="auto" w:fill="F2F2F2" w:themeFill="background1" w:themeFillShade="F2"/>
            <w:vAlign w:val="center"/>
            <w:hideMark/>
          </w:tcPr>
          <w:p w14:paraId="576DDD32" w14:textId="0719ED1B"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8610 - Atividades de atendimento hospitalar</w:t>
            </w:r>
          </w:p>
        </w:tc>
        <w:tc>
          <w:tcPr>
            <w:tcW w:w="474" w:type="pct"/>
            <w:tcBorders>
              <w:top w:val="nil"/>
              <w:left w:val="nil"/>
              <w:bottom w:val="nil"/>
              <w:right w:val="nil"/>
            </w:tcBorders>
            <w:shd w:val="clear" w:color="auto" w:fill="F2F2F2" w:themeFill="background1" w:themeFillShade="F2"/>
            <w:vAlign w:val="center"/>
            <w:hideMark/>
          </w:tcPr>
          <w:p w14:paraId="6C087668"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415</w:t>
            </w:r>
          </w:p>
        </w:tc>
        <w:tc>
          <w:tcPr>
            <w:tcW w:w="474" w:type="pct"/>
            <w:tcBorders>
              <w:top w:val="nil"/>
              <w:left w:val="nil"/>
              <w:bottom w:val="nil"/>
              <w:right w:val="nil"/>
            </w:tcBorders>
            <w:shd w:val="clear" w:color="auto" w:fill="F2F2F2" w:themeFill="background1" w:themeFillShade="F2"/>
            <w:vAlign w:val="center"/>
            <w:hideMark/>
          </w:tcPr>
          <w:p w14:paraId="1BB35C9C" w14:textId="1CB8D9EF"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3,65</w:t>
            </w:r>
          </w:p>
        </w:tc>
        <w:tc>
          <w:tcPr>
            <w:tcW w:w="598" w:type="pct"/>
            <w:tcBorders>
              <w:top w:val="nil"/>
              <w:left w:val="nil"/>
              <w:bottom w:val="nil"/>
              <w:right w:val="nil"/>
            </w:tcBorders>
            <w:shd w:val="clear" w:color="auto" w:fill="F2F2F2" w:themeFill="background1" w:themeFillShade="F2"/>
            <w:vAlign w:val="center"/>
            <w:hideMark/>
          </w:tcPr>
          <w:p w14:paraId="4AF484A5"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138,33</w:t>
            </w:r>
          </w:p>
        </w:tc>
        <w:tc>
          <w:tcPr>
            <w:tcW w:w="153" w:type="pct"/>
            <w:tcBorders>
              <w:top w:val="nil"/>
              <w:left w:val="nil"/>
              <w:bottom w:val="nil"/>
              <w:right w:val="nil"/>
            </w:tcBorders>
            <w:shd w:val="clear" w:color="auto" w:fill="F2F2F2" w:themeFill="background1" w:themeFillShade="F2"/>
            <w:noWrap/>
            <w:vAlign w:val="center"/>
            <w:hideMark/>
          </w:tcPr>
          <w:p w14:paraId="21917BB8"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auto" w:fill="F2F2F2" w:themeFill="background1" w:themeFillShade="F2"/>
            <w:noWrap/>
            <w:vAlign w:val="center"/>
            <w:hideMark/>
          </w:tcPr>
          <w:p w14:paraId="65440A26"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14,98</w:t>
            </w:r>
          </w:p>
        </w:tc>
      </w:tr>
      <w:tr w:rsidR="00763C1C" w:rsidRPr="00763C1C" w14:paraId="7AB6C5FB" w14:textId="77777777" w:rsidTr="00763C1C">
        <w:trPr>
          <w:trHeight w:hRule="exact" w:val="284"/>
        </w:trPr>
        <w:tc>
          <w:tcPr>
            <w:tcW w:w="2653" w:type="pct"/>
            <w:tcBorders>
              <w:top w:val="nil"/>
              <w:left w:val="nil"/>
              <w:bottom w:val="nil"/>
              <w:right w:val="nil"/>
            </w:tcBorders>
            <w:shd w:val="clear" w:color="000000" w:fill="FFFFFF"/>
            <w:vAlign w:val="center"/>
            <w:hideMark/>
          </w:tcPr>
          <w:p w14:paraId="66F2B1DC" w14:textId="446B8C69"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 xml:space="preserve">2949 - Fabricação de peças para veículos </w:t>
            </w:r>
          </w:p>
        </w:tc>
        <w:tc>
          <w:tcPr>
            <w:tcW w:w="474" w:type="pct"/>
            <w:tcBorders>
              <w:top w:val="nil"/>
              <w:left w:val="nil"/>
              <w:bottom w:val="nil"/>
              <w:right w:val="nil"/>
            </w:tcBorders>
            <w:shd w:val="clear" w:color="000000" w:fill="FFFFFF"/>
            <w:vAlign w:val="center"/>
            <w:hideMark/>
          </w:tcPr>
          <w:p w14:paraId="3E379865"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364</w:t>
            </w:r>
          </w:p>
        </w:tc>
        <w:tc>
          <w:tcPr>
            <w:tcW w:w="474" w:type="pct"/>
            <w:tcBorders>
              <w:top w:val="nil"/>
              <w:left w:val="nil"/>
              <w:bottom w:val="nil"/>
              <w:right w:val="nil"/>
            </w:tcBorders>
            <w:shd w:val="clear" w:color="000000" w:fill="FFFFFF"/>
            <w:vAlign w:val="center"/>
            <w:hideMark/>
          </w:tcPr>
          <w:p w14:paraId="75DE3B1F" w14:textId="7A8D642A"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3,20</w:t>
            </w:r>
          </w:p>
        </w:tc>
        <w:tc>
          <w:tcPr>
            <w:tcW w:w="598" w:type="pct"/>
            <w:tcBorders>
              <w:top w:val="nil"/>
              <w:left w:val="nil"/>
              <w:bottom w:val="nil"/>
              <w:right w:val="nil"/>
            </w:tcBorders>
            <w:shd w:val="clear" w:color="000000" w:fill="FFFFFF"/>
            <w:vAlign w:val="center"/>
            <w:hideMark/>
          </w:tcPr>
          <w:p w14:paraId="698F0BB2"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121,33</w:t>
            </w:r>
          </w:p>
        </w:tc>
        <w:tc>
          <w:tcPr>
            <w:tcW w:w="153" w:type="pct"/>
            <w:tcBorders>
              <w:top w:val="nil"/>
              <w:left w:val="nil"/>
              <w:bottom w:val="nil"/>
              <w:right w:val="nil"/>
            </w:tcBorders>
            <w:shd w:val="clear" w:color="000000" w:fill="FFFFFF"/>
            <w:noWrap/>
            <w:vAlign w:val="center"/>
            <w:hideMark/>
          </w:tcPr>
          <w:p w14:paraId="2FC09A2F"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0AE7D3D8"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37,29</w:t>
            </w:r>
          </w:p>
        </w:tc>
      </w:tr>
      <w:tr w:rsidR="00763C1C" w:rsidRPr="00763C1C" w14:paraId="0F2A7E4F" w14:textId="77777777" w:rsidTr="00763C1C">
        <w:trPr>
          <w:trHeight w:hRule="exact" w:val="284"/>
        </w:trPr>
        <w:tc>
          <w:tcPr>
            <w:tcW w:w="2653" w:type="pct"/>
            <w:tcBorders>
              <w:top w:val="nil"/>
              <w:left w:val="nil"/>
              <w:bottom w:val="nil"/>
              <w:right w:val="nil"/>
            </w:tcBorders>
            <w:shd w:val="clear" w:color="auto" w:fill="F2F2F2" w:themeFill="background1" w:themeFillShade="F2"/>
            <w:vAlign w:val="center"/>
            <w:hideMark/>
          </w:tcPr>
          <w:p w14:paraId="50D61715" w14:textId="2D3D4206"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2920 - Fabricação de caminhões e ônibus</w:t>
            </w:r>
          </w:p>
        </w:tc>
        <w:tc>
          <w:tcPr>
            <w:tcW w:w="474" w:type="pct"/>
            <w:tcBorders>
              <w:top w:val="nil"/>
              <w:left w:val="nil"/>
              <w:bottom w:val="nil"/>
              <w:right w:val="nil"/>
            </w:tcBorders>
            <w:shd w:val="clear" w:color="auto" w:fill="F2F2F2" w:themeFill="background1" w:themeFillShade="F2"/>
            <w:vAlign w:val="center"/>
            <w:hideMark/>
          </w:tcPr>
          <w:p w14:paraId="04545EC5"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251</w:t>
            </w:r>
          </w:p>
        </w:tc>
        <w:tc>
          <w:tcPr>
            <w:tcW w:w="474" w:type="pct"/>
            <w:tcBorders>
              <w:top w:val="nil"/>
              <w:left w:val="nil"/>
              <w:bottom w:val="nil"/>
              <w:right w:val="nil"/>
            </w:tcBorders>
            <w:shd w:val="clear" w:color="auto" w:fill="F2F2F2" w:themeFill="background1" w:themeFillShade="F2"/>
            <w:vAlign w:val="center"/>
            <w:hideMark/>
          </w:tcPr>
          <w:p w14:paraId="33C45E42" w14:textId="1D4894E6"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2,21</w:t>
            </w:r>
          </w:p>
        </w:tc>
        <w:tc>
          <w:tcPr>
            <w:tcW w:w="598" w:type="pct"/>
            <w:tcBorders>
              <w:top w:val="nil"/>
              <w:left w:val="nil"/>
              <w:bottom w:val="nil"/>
              <w:right w:val="nil"/>
            </w:tcBorders>
            <w:shd w:val="clear" w:color="auto" w:fill="F2F2F2" w:themeFill="background1" w:themeFillShade="F2"/>
            <w:vAlign w:val="center"/>
            <w:hideMark/>
          </w:tcPr>
          <w:p w14:paraId="0F60CC07"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83,67</w:t>
            </w:r>
          </w:p>
        </w:tc>
        <w:tc>
          <w:tcPr>
            <w:tcW w:w="153" w:type="pct"/>
            <w:tcBorders>
              <w:top w:val="nil"/>
              <w:left w:val="nil"/>
              <w:bottom w:val="nil"/>
              <w:right w:val="nil"/>
            </w:tcBorders>
            <w:shd w:val="clear" w:color="auto" w:fill="F2F2F2" w:themeFill="background1" w:themeFillShade="F2"/>
            <w:noWrap/>
            <w:vAlign w:val="center"/>
            <w:hideMark/>
          </w:tcPr>
          <w:p w14:paraId="0F7FF3A9"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auto" w:fill="F2F2F2" w:themeFill="background1" w:themeFillShade="F2"/>
            <w:noWrap/>
            <w:vAlign w:val="center"/>
            <w:hideMark/>
          </w:tcPr>
          <w:p w14:paraId="3AB364B0"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86,07</w:t>
            </w:r>
          </w:p>
        </w:tc>
      </w:tr>
      <w:tr w:rsidR="00763C1C" w:rsidRPr="00763C1C" w14:paraId="66E59DD9" w14:textId="77777777" w:rsidTr="00763C1C">
        <w:trPr>
          <w:trHeight w:hRule="exact" w:val="284"/>
        </w:trPr>
        <w:tc>
          <w:tcPr>
            <w:tcW w:w="2653" w:type="pct"/>
            <w:tcBorders>
              <w:top w:val="nil"/>
              <w:left w:val="nil"/>
              <w:bottom w:val="nil"/>
              <w:right w:val="nil"/>
            </w:tcBorders>
            <w:shd w:val="clear" w:color="000000" w:fill="FFFFFF"/>
            <w:vAlign w:val="center"/>
            <w:hideMark/>
          </w:tcPr>
          <w:p w14:paraId="6C3C47B5" w14:textId="6CF67E58"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 xml:space="preserve">4711 - Comércio varejista de mercadorias </w:t>
            </w:r>
          </w:p>
        </w:tc>
        <w:tc>
          <w:tcPr>
            <w:tcW w:w="474" w:type="pct"/>
            <w:tcBorders>
              <w:top w:val="nil"/>
              <w:left w:val="nil"/>
              <w:bottom w:val="nil"/>
              <w:right w:val="nil"/>
            </w:tcBorders>
            <w:shd w:val="clear" w:color="000000" w:fill="FFFFFF"/>
            <w:vAlign w:val="center"/>
            <w:hideMark/>
          </w:tcPr>
          <w:p w14:paraId="173B37A2"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235</w:t>
            </w:r>
          </w:p>
        </w:tc>
        <w:tc>
          <w:tcPr>
            <w:tcW w:w="474" w:type="pct"/>
            <w:tcBorders>
              <w:top w:val="nil"/>
              <w:left w:val="nil"/>
              <w:bottom w:val="nil"/>
              <w:right w:val="nil"/>
            </w:tcBorders>
            <w:shd w:val="clear" w:color="000000" w:fill="FFFFFF"/>
            <w:vAlign w:val="center"/>
            <w:hideMark/>
          </w:tcPr>
          <w:p w14:paraId="55D20270" w14:textId="0484F5EE"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2,07</w:t>
            </w:r>
          </w:p>
        </w:tc>
        <w:tc>
          <w:tcPr>
            <w:tcW w:w="598" w:type="pct"/>
            <w:tcBorders>
              <w:top w:val="nil"/>
              <w:left w:val="nil"/>
              <w:bottom w:val="nil"/>
              <w:right w:val="nil"/>
            </w:tcBorders>
            <w:shd w:val="clear" w:color="000000" w:fill="FFFFFF"/>
            <w:vAlign w:val="center"/>
            <w:hideMark/>
          </w:tcPr>
          <w:p w14:paraId="74B4728D"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78,33</w:t>
            </w:r>
          </w:p>
        </w:tc>
        <w:tc>
          <w:tcPr>
            <w:tcW w:w="153" w:type="pct"/>
            <w:tcBorders>
              <w:top w:val="nil"/>
              <w:left w:val="nil"/>
              <w:bottom w:val="nil"/>
              <w:right w:val="nil"/>
            </w:tcBorders>
            <w:shd w:val="clear" w:color="000000" w:fill="FFFFFF"/>
            <w:noWrap/>
            <w:vAlign w:val="center"/>
            <w:hideMark/>
          </w:tcPr>
          <w:p w14:paraId="499B92B1"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705779B9"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19,50</w:t>
            </w:r>
          </w:p>
        </w:tc>
      </w:tr>
      <w:tr w:rsidR="00763C1C" w:rsidRPr="00763C1C" w14:paraId="1167AB64" w14:textId="77777777" w:rsidTr="00763C1C">
        <w:trPr>
          <w:trHeight w:hRule="exact" w:val="284"/>
        </w:trPr>
        <w:tc>
          <w:tcPr>
            <w:tcW w:w="2653" w:type="pct"/>
            <w:tcBorders>
              <w:top w:val="nil"/>
              <w:left w:val="nil"/>
              <w:bottom w:val="nil"/>
              <w:right w:val="nil"/>
            </w:tcBorders>
            <w:shd w:val="clear" w:color="auto" w:fill="F2F2F2" w:themeFill="background1" w:themeFillShade="F2"/>
            <w:vAlign w:val="center"/>
            <w:hideMark/>
          </w:tcPr>
          <w:p w14:paraId="11E5808D" w14:textId="2CD1466C"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5611 - Restaurantes e outros</w:t>
            </w:r>
          </w:p>
        </w:tc>
        <w:tc>
          <w:tcPr>
            <w:tcW w:w="474" w:type="pct"/>
            <w:tcBorders>
              <w:top w:val="nil"/>
              <w:left w:val="nil"/>
              <w:bottom w:val="nil"/>
              <w:right w:val="nil"/>
            </w:tcBorders>
            <w:shd w:val="clear" w:color="auto" w:fill="F2F2F2" w:themeFill="background1" w:themeFillShade="F2"/>
            <w:vAlign w:val="center"/>
            <w:hideMark/>
          </w:tcPr>
          <w:p w14:paraId="0D6B74A1"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211</w:t>
            </w:r>
          </w:p>
        </w:tc>
        <w:tc>
          <w:tcPr>
            <w:tcW w:w="474" w:type="pct"/>
            <w:tcBorders>
              <w:top w:val="nil"/>
              <w:left w:val="nil"/>
              <w:bottom w:val="nil"/>
              <w:right w:val="nil"/>
            </w:tcBorders>
            <w:shd w:val="clear" w:color="auto" w:fill="F2F2F2" w:themeFill="background1" w:themeFillShade="F2"/>
            <w:vAlign w:val="center"/>
            <w:hideMark/>
          </w:tcPr>
          <w:p w14:paraId="6E66042D" w14:textId="7BDB4BAD"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1,86</w:t>
            </w:r>
          </w:p>
        </w:tc>
        <w:tc>
          <w:tcPr>
            <w:tcW w:w="598" w:type="pct"/>
            <w:tcBorders>
              <w:top w:val="nil"/>
              <w:left w:val="nil"/>
              <w:bottom w:val="nil"/>
              <w:right w:val="nil"/>
            </w:tcBorders>
            <w:shd w:val="clear" w:color="auto" w:fill="F2F2F2" w:themeFill="background1" w:themeFillShade="F2"/>
            <w:vAlign w:val="center"/>
            <w:hideMark/>
          </w:tcPr>
          <w:p w14:paraId="5ABB1B52"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70,33</w:t>
            </w:r>
          </w:p>
        </w:tc>
        <w:tc>
          <w:tcPr>
            <w:tcW w:w="153" w:type="pct"/>
            <w:tcBorders>
              <w:top w:val="nil"/>
              <w:left w:val="nil"/>
              <w:bottom w:val="nil"/>
              <w:right w:val="nil"/>
            </w:tcBorders>
            <w:shd w:val="clear" w:color="auto" w:fill="F2F2F2" w:themeFill="background1" w:themeFillShade="F2"/>
            <w:noWrap/>
            <w:vAlign w:val="center"/>
            <w:hideMark/>
          </w:tcPr>
          <w:p w14:paraId="5714050F"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auto" w:fill="F2F2F2" w:themeFill="background1" w:themeFillShade="F2"/>
            <w:noWrap/>
            <w:vAlign w:val="center"/>
            <w:hideMark/>
          </w:tcPr>
          <w:p w14:paraId="3612FC59"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18,04</w:t>
            </w:r>
          </w:p>
        </w:tc>
      </w:tr>
      <w:tr w:rsidR="00763C1C" w:rsidRPr="00763C1C" w14:paraId="1A018D71" w14:textId="77777777" w:rsidTr="00763C1C">
        <w:trPr>
          <w:trHeight w:hRule="exact" w:val="284"/>
        </w:trPr>
        <w:tc>
          <w:tcPr>
            <w:tcW w:w="2653" w:type="pct"/>
            <w:tcBorders>
              <w:top w:val="nil"/>
              <w:left w:val="nil"/>
              <w:bottom w:val="nil"/>
              <w:right w:val="nil"/>
            </w:tcBorders>
            <w:shd w:val="clear" w:color="000000" w:fill="FFFFFF"/>
            <w:vAlign w:val="center"/>
            <w:hideMark/>
          </w:tcPr>
          <w:p w14:paraId="5126D2A0" w14:textId="464BDA7B"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8411 - Administração pública em geral</w:t>
            </w:r>
          </w:p>
        </w:tc>
        <w:tc>
          <w:tcPr>
            <w:tcW w:w="474" w:type="pct"/>
            <w:tcBorders>
              <w:top w:val="nil"/>
              <w:left w:val="nil"/>
              <w:bottom w:val="nil"/>
              <w:right w:val="nil"/>
            </w:tcBorders>
            <w:shd w:val="clear" w:color="000000" w:fill="FFFFFF"/>
            <w:vAlign w:val="center"/>
            <w:hideMark/>
          </w:tcPr>
          <w:p w14:paraId="6102EEC5"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208</w:t>
            </w:r>
          </w:p>
        </w:tc>
        <w:tc>
          <w:tcPr>
            <w:tcW w:w="474" w:type="pct"/>
            <w:tcBorders>
              <w:top w:val="nil"/>
              <w:left w:val="nil"/>
              <w:bottom w:val="nil"/>
              <w:right w:val="nil"/>
            </w:tcBorders>
            <w:shd w:val="clear" w:color="000000" w:fill="FFFFFF"/>
            <w:vAlign w:val="center"/>
            <w:hideMark/>
          </w:tcPr>
          <w:p w14:paraId="488EE5D1" w14:textId="26F33019"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1,83</w:t>
            </w:r>
          </w:p>
        </w:tc>
        <w:tc>
          <w:tcPr>
            <w:tcW w:w="598" w:type="pct"/>
            <w:tcBorders>
              <w:top w:val="nil"/>
              <w:left w:val="nil"/>
              <w:bottom w:val="nil"/>
              <w:right w:val="nil"/>
            </w:tcBorders>
            <w:shd w:val="clear" w:color="000000" w:fill="FFFFFF"/>
            <w:vAlign w:val="center"/>
            <w:hideMark/>
          </w:tcPr>
          <w:p w14:paraId="2D135799"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69,33</w:t>
            </w:r>
          </w:p>
        </w:tc>
        <w:tc>
          <w:tcPr>
            <w:tcW w:w="153" w:type="pct"/>
            <w:tcBorders>
              <w:top w:val="nil"/>
              <w:left w:val="nil"/>
              <w:bottom w:val="nil"/>
              <w:right w:val="nil"/>
            </w:tcBorders>
            <w:shd w:val="clear" w:color="000000" w:fill="FFFFFF"/>
            <w:noWrap/>
            <w:vAlign w:val="center"/>
            <w:hideMark/>
          </w:tcPr>
          <w:p w14:paraId="5A1445CC"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56C68C4F"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5,69</w:t>
            </w:r>
          </w:p>
        </w:tc>
      </w:tr>
      <w:tr w:rsidR="00763C1C" w:rsidRPr="00763C1C" w14:paraId="60E75FCB" w14:textId="77777777" w:rsidTr="00763C1C">
        <w:trPr>
          <w:trHeight w:hRule="exact" w:val="284"/>
        </w:trPr>
        <w:tc>
          <w:tcPr>
            <w:tcW w:w="2653" w:type="pct"/>
            <w:tcBorders>
              <w:top w:val="nil"/>
              <w:left w:val="nil"/>
              <w:bottom w:val="nil"/>
              <w:right w:val="nil"/>
            </w:tcBorders>
            <w:shd w:val="clear" w:color="auto" w:fill="F2F2F2" w:themeFill="background1" w:themeFillShade="F2"/>
            <w:vAlign w:val="center"/>
            <w:hideMark/>
          </w:tcPr>
          <w:p w14:paraId="489BDA41" w14:textId="135F5155"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 xml:space="preserve">2941 - Fabricação de peças para motor </w:t>
            </w:r>
          </w:p>
        </w:tc>
        <w:tc>
          <w:tcPr>
            <w:tcW w:w="474" w:type="pct"/>
            <w:tcBorders>
              <w:top w:val="nil"/>
              <w:left w:val="nil"/>
              <w:bottom w:val="nil"/>
              <w:right w:val="nil"/>
            </w:tcBorders>
            <w:shd w:val="clear" w:color="auto" w:fill="F2F2F2" w:themeFill="background1" w:themeFillShade="F2"/>
            <w:vAlign w:val="center"/>
            <w:hideMark/>
          </w:tcPr>
          <w:p w14:paraId="08978BA5"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159</w:t>
            </w:r>
          </w:p>
        </w:tc>
        <w:tc>
          <w:tcPr>
            <w:tcW w:w="474" w:type="pct"/>
            <w:tcBorders>
              <w:top w:val="nil"/>
              <w:left w:val="nil"/>
              <w:bottom w:val="nil"/>
              <w:right w:val="nil"/>
            </w:tcBorders>
            <w:shd w:val="clear" w:color="auto" w:fill="F2F2F2" w:themeFill="background1" w:themeFillShade="F2"/>
            <w:vAlign w:val="center"/>
            <w:hideMark/>
          </w:tcPr>
          <w:p w14:paraId="38D4FA94" w14:textId="5A88F97C"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1,40</w:t>
            </w:r>
          </w:p>
        </w:tc>
        <w:tc>
          <w:tcPr>
            <w:tcW w:w="598" w:type="pct"/>
            <w:tcBorders>
              <w:top w:val="nil"/>
              <w:left w:val="nil"/>
              <w:bottom w:val="nil"/>
              <w:right w:val="nil"/>
            </w:tcBorders>
            <w:shd w:val="clear" w:color="auto" w:fill="F2F2F2" w:themeFill="background1" w:themeFillShade="F2"/>
            <w:vAlign w:val="center"/>
            <w:hideMark/>
          </w:tcPr>
          <w:p w14:paraId="5D9DDE19"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53,00</w:t>
            </w:r>
          </w:p>
        </w:tc>
        <w:tc>
          <w:tcPr>
            <w:tcW w:w="153" w:type="pct"/>
            <w:tcBorders>
              <w:top w:val="nil"/>
              <w:left w:val="nil"/>
              <w:bottom w:val="nil"/>
              <w:right w:val="nil"/>
            </w:tcBorders>
            <w:shd w:val="clear" w:color="auto" w:fill="F2F2F2" w:themeFill="background1" w:themeFillShade="F2"/>
            <w:noWrap/>
            <w:vAlign w:val="center"/>
            <w:hideMark/>
          </w:tcPr>
          <w:p w14:paraId="0C5E5939"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auto" w:fill="F2F2F2" w:themeFill="background1" w:themeFillShade="F2"/>
            <w:noWrap/>
            <w:vAlign w:val="center"/>
            <w:hideMark/>
          </w:tcPr>
          <w:p w14:paraId="1A91A804"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14,73</w:t>
            </w:r>
          </w:p>
        </w:tc>
      </w:tr>
      <w:tr w:rsidR="00763C1C" w:rsidRPr="00763C1C" w14:paraId="7B294BB6" w14:textId="77777777" w:rsidTr="00763C1C">
        <w:trPr>
          <w:trHeight w:hRule="exact" w:val="284"/>
        </w:trPr>
        <w:tc>
          <w:tcPr>
            <w:tcW w:w="2653" w:type="pct"/>
            <w:tcBorders>
              <w:top w:val="nil"/>
              <w:left w:val="nil"/>
              <w:bottom w:val="nil"/>
              <w:right w:val="nil"/>
            </w:tcBorders>
            <w:shd w:val="clear" w:color="000000" w:fill="FFFFFF"/>
            <w:vAlign w:val="center"/>
            <w:hideMark/>
          </w:tcPr>
          <w:p w14:paraId="2752CD62" w14:textId="0B548034"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4930 - Transporte rodoviário de carga</w:t>
            </w:r>
          </w:p>
        </w:tc>
        <w:tc>
          <w:tcPr>
            <w:tcW w:w="474" w:type="pct"/>
            <w:tcBorders>
              <w:top w:val="nil"/>
              <w:left w:val="nil"/>
              <w:bottom w:val="nil"/>
              <w:right w:val="nil"/>
            </w:tcBorders>
            <w:shd w:val="clear" w:color="000000" w:fill="FFFFFF"/>
            <w:vAlign w:val="center"/>
            <w:hideMark/>
          </w:tcPr>
          <w:p w14:paraId="1F9442C7"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157</w:t>
            </w:r>
          </w:p>
        </w:tc>
        <w:tc>
          <w:tcPr>
            <w:tcW w:w="474" w:type="pct"/>
            <w:tcBorders>
              <w:top w:val="nil"/>
              <w:left w:val="nil"/>
              <w:bottom w:val="nil"/>
              <w:right w:val="nil"/>
            </w:tcBorders>
            <w:shd w:val="clear" w:color="000000" w:fill="FFFFFF"/>
            <w:vAlign w:val="center"/>
            <w:hideMark/>
          </w:tcPr>
          <w:p w14:paraId="15D289F6" w14:textId="53D7F20C"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1,38</w:t>
            </w:r>
          </w:p>
        </w:tc>
        <w:tc>
          <w:tcPr>
            <w:tcW w:w="598" w:type="pct"/>
            <w:tcBorders>
              <w:top w:val="nil"/>
              <w:left w:val="nil"/>
              <w:bottom w:val="nil"/>
              <w:right w:val="nil"/>
            </w:tcBorders>
            <w:shd w:val="clear" w:color="000000" w:fill="FFFFFF"/>
            <w:vAlign w:val="center"/>
            <w:hideMark/>
          </w:tcPr>
          <w:p w14:paraId="490368A6"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52,33</w:t>
            </w:r>
          </w:p>
        </w:tc>
        <w:tc>
          <w:tcPr>
            <w:tcW w:w="153" w:type="pct"/>
            <w:tcBorders>
              <w:top w:val="nil"/>
              <w:left w:val="nil"/>
              <w:bottom w:val="nil"/>
              <w:right w:val="nil"/>
            </w:tcBorders>
            <w:shd w:val="clear" w:color="000000" w:fill="FFFFFF"/>
            <w:noWrap/>
            <w:vAlign w:val="center"/>
            <w:hideMark/>
          </w:tcPr>
          <w:p w14:paraId="22D290AF"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03053E07"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7,37</w:t>
            </w:r>
          </w:p>
        </w:tc>
      </w:tr>
      <w:tr w:rsidR="00763C1C" w:rsidRPr="00763C1C" w14:paraId="78AAF569" w14:textId="77777777" w:rsidTr="00763C1C">
        <w:trPr>
          <w:trHeight w:hRule="exact" w:val="284"/>
        </w:trPr>
        <w:tc>
          <w:tcPr>
            <w:tcW w:w="2653" w:type="pct"/>
            <w:tcBorders>
              <w:top w:val="nil"/>
              <w:left w:val="nil"/>
              <w:bottom w:val="nil"/>
              <w:right w:val="nil"/>
            </w:tcBorders>
            <w:shd w:val="clear" w:color="auto" w:fill="F2F2F2" w:themeFill="background1" w:themeFillShade="F2"/>
            <w:vAlign w:val="center"/>
            <w:hideMark/>
          </w:tcPr>
          <w:p w14:paraId="7A4A75A9" w14:textId="12D9D56D"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2211 - Fabricação de pneumáticos</w:t>
            </w:r>
          </w:p>
        </w:tc>
        <w:tc>
          <w:tcPr>
            <w:tcW w:w="474" w:type="pct"/>
            <w:tcBorders>
              <w:top w:val="nil"/>
              <w:left w:val="nil"/>
              <w:bottom w:val="nil"/>
              <w:right w:val="nil"/>
            </w:tcBorders>
            <w:shd w:val="clear" w:color="auto" w:fill="F2F2F2" w:themeFill="background1" w:themeFillShade="F2"/>
            <w:vAlign w:val="center"/>
            <w:hideMark/>
          </w:tcPr>
          <w:p w14:paraId="72D638DD"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128</w:t>
            </w:r>
          </w:p>
        </w:tc>
        <w:tc>
          <w:tcPr>
            <w:tcW w:w="474" w:type="pct"/>
            <w:tcBorders>
              <w:top w:val="nil"/>
              <w:left w:val="nil"/>
              <w:bottom w:val="nil"/>
              <w:right w:val="nil"/>
            </w:tcBorders>
            <w:shd w:val="clear" w:color="auto" w:fill="F2F2F2" w:themeFill="background1" w:themeFillShade="F2"/>
            <w:vAlign w:val="center"/>
            <w:hideMark/>
          </w:tcPr>
          <w:p w14:paraId="1F506854" w14:textId="1E6D94B2"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1,13</w:t>
            </w:r>
          </w:p>
        </w:tc>
        <w:tc>
          <w:tcPr>
            <w:tcW w:w="598" w:type="pct"/>
            <w:tcBorders>
              <w:top w:val="nil"/>
              <w:left w:val="nil"/>
              <w:bottom w:val="nil"/>
              <w:right w:val="nil"/>
            </w:tcBorders>
            <w:shd w:val="clear" w:color="auto" w:fill="F2F2F2" w:themeFill="background1" w:themeFillShade="F2"/>
            <w:vAlign w:val="center"/>
            <w:hideMark/>
          </w:tcPr>
          <w:p w14:paraId="6ABF23AC"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42,67</w:t>
            </w:r>
          </w:p>
        </w:tc>
        <w:tc>
          <w:tcPr>
            <w:tcW w:w="153" w:type="pct"/>
            <w:tcBorders>
              <w:top w:val="nil"/>
              <w:left w:val="nil"/>
              <w:bottom w:val="nil"/>
              <w:right w:val="nil"/>
            </w:tcBorders>
            <w:shd w:val="clear" w:color="auto" w:fill="F2F2F2" w:themeFill="background1" w:themeFillShade="F2"/>
            <w:noWrap/>
            <w:vAlign w:val="center"/>
            <w:hideMark/>
          </w:tcPr>
          <w:p w14:paraId="41C8706D"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auto" w:fill="F2F2F2" w:themeFill="background1" w:themeFillShade="F2"/>
            <w:noWrap/>
            <w:vAlign w:val="center"/>
            <w:hideMark/>
          </w:tcPr>
          <w:p w14:paraId="418DD180"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6,35</w:t>
            </w:r>
          </w:p>
        </w:tc>
      </w:tr>
      <w:tr w:rsidR="00763C1C" w:rsidRPr="00763C1C" w14:paraId="34053FA2" w14:textId="77777777" w:rsidTr="00763C1C">
        <w:trPr>
          <w:trHeight w:hRule="exact" w:val="284"/>
        </w:trPr>
        <w:tc>
          <w:tcPr>
            <w:tcW w:w="2653" w:type="pct"/>
            <w:tcBorders>
              <w:top w:val="nil"/>
              <w:left w:val="nil"/>
              <w:bottom w:val="nil"/>
              <w:right w:val="nil"/>
            </w:tcBorders>
            <w:shd w:val="clear" w:color="000000" w:fill="FFFFFF"/>
            <w:vAlign w:val="center"/>
            <w:hideMark/>
          </w:tcPr>
          <w:p w14:paraId="5195BC26" w14:textId="5DB1FE66"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2330 - Fabricação de artefatos de concreto</w:t>
            </w:r>
          </w:p>
        </w:tc>
        <w:tc>
          <w:tcPr>
            <w:tcW w:w="474" w:type="pct"/>
            <w:tcBorders>
              <w:top w:val="nil"/>
              <w:left w:val="nil"/>
              <w:bottom w:val="nil"/>
              <w:right w:val="nil"/>
            </w:tcBorders>
            <w:shd w:val="clear" w:color="000000" w:fill="FFFFFF"/>
            <w:vAlign w:val="center"/>
            <w:hideMark/>
          </w:tcPr>
          <w:p w14:paraId="43A74D66"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115</w:t>
            </w:r>
          </w:p>
        </w:tc>
        <w:tc>
          <w:tcPr>
            <w:tcW w:w="474" w:type="pct"/>
            <w:tcBorders>
              <w:top w:val="nil"/>
              <w:left w:val="nil"/>
              <w:bottom w:val="nil"/>
              <w:right w:val="nil"/>
            </w:tcBorders>
            <w:shd w:val="clear" w:color="000000" w:fill="FFFFFF"/>
            <w:vAlign w:val="center"/>
            <w:hideMark/>
          </w:tcPr>
          <w:p w14:paraId="0451190D" w14:textId="6CEE3E70"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1,01</w:t>
            </w:r>
          </w:p>
        </w:tc>
        <w:tc>
          <w:tcPr>
            <w:tcW w:w="598" w:type="pct"/>
            <w:tcBorders>
              <w:top w:val="nil"/>
              <w:left w:val="nil"/>
              <w:bottom w:val="nil"/>
              <w:right w:val="nil"/>
            </w:tcBorders>
            <w:shd w:val="clear" w:color="000000" w:fill="FFFFFF"/>
            <w:vAlign w:val="center"/>
            <w:hideMark/>
          </w:tcPr>
          <w:p w14:paraId="363AB6C7" w14:textId="77777777"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38,33</w:t>
            </w:r>
          </w:p>
        </w:tc>
        <w:tc>
          <w:tcPr>
            <w:tcW w:w="153" w:type="pct"/>
            <w:tcBorders>
              <w:top w:val="nil"/>
              <w:left w:val="nil"/>
              <w:bottom w:val="nil"/>
              <w:right w:val="nil"/>
            </w:tcBorders>
            <w:shd w:val="clear" w:color="000000" w:fill="FFFFFF"/>
            <w:noWrap/>
            <w:vAlign w:val="center"/>
            <w:hideMark/>
          </w:tcPr>
          <w:p w14:paraId="0582CCD5"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c>
          <w:tcPr>
            <w:tcW w:w="647" w:type="pct"/>
            <w:tcBorders>
              <w:top w:val="nil"/>
              <w:left w:val="nil"/>
              <w:bottom w:val="nil"/>
              <w:right w:val="nil"/>
            </w:tcBorders>
            <w:shd w:val="clear" w:color="000000" w:fill="FFFFFF"/>
            <w:noWrap/>
            <w:vAlign w:val="center"/>
            <w:hideMark/>
          </w:tcPr>
          <w:p w14:paraId="05F8C75F" w14:textId="77777777"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11,93</w:t>
            </w:r>
          </w:p>
        </w:tc>
      </w:tr>
      <w:tr w:rsidR="00763C1C" w:rsidRPr="00763C1C" w14:paraId="1D6DF035" w14:textId="77777777" w:rsidTr="00763C1C">
        <w:trPr>
          <w:trHeight w:hRule="exact" w:val="284"/>
        </w:trPr>
        <w:tc>
          <w:tcPr>
            <w:tcW w:w="2653" w:type="pct"/>
            <w:tcBorders>
              <w:top w:val="nil"/>
              <w:left w:val="nil"/>
              <w:bottom w:val="single" w:sz="4" w:space="0" w:color="auto"/>
              <w:right w:val="nil"/>
            </w:tcBorders>
            <w:shd w:val="clear" w:color="auto" w:fill="F2F2F2" w:themeFill="background1" w:themeFillShade="F2"/>
            <w:vAlign w:val="center"/>
          </w:tcPr>
          <w:p w14:paraId="4CEEC586" w14:textId="1A5A6870" w:rsidR="00763C1C" w:rsidRPr="00763C1C" w:rsidRDefault="00763C1C" w:rsidP="00AD2E13">
            <w:pPr>
              <w:rPr>
                <w:rFonts w:ascii="Arial" w:hAnsi="Arial" w:cs="Arial"/>
                <w:color w:val="000000"/>
                <w:spacing w:val="0"/>
                <w:position w:val="0"/>
                <w:sz w:val="22"/>
                <w:szCs w:val="22"/>
              </w:rPr>
            </w:pPr>
            <w:r w:rsidRPr="00763C1C">
              <w:rPr>
                <w:rFonts w:ascii="Arial" w:hAnsi="Arial" w:cs="Arial"/>
                <w:color w:val="000000"/>
                <w:spacing w:val="0"/>
                <w:position w:val="0"/>
                <w:sz w:val="22"/>
                <w:szCs w:val="22"/>
              </w:rPr>
              <w:t>Outros CNAE **</w:t>
            </w:r>
          </w:p>
        </w:tc>
        <w:tc>
          <w:tcPr>
            <w:tcW w:w="474" w:type="pct"/>
            <w:tcBorders>
              <w:top w:val="nil"/>
              <w:left w:val="nil"/>
              <w:bottom w:val="single" w:sz="4" w:space="0" w:color="auto"/>
              <w:right w:val="nil"/>
            </w:tcBorders>
            <w:shd w:val="clear" w:color="auto" w:fill="F2F2F2" w:themeFill="background1" w:themeFillShade="F2"/>
            <w:vAlign w:val="center"/>
          </w:tcPr>
          <w:p w14:paraId="06885B7D" w14:textId="5B27AA92"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5.967</w:t>
            </w:r>
          </w:p>
        </w:tc>
        <w:tc>
          <w:tcPr>
            <w:tcW w:w="474" w:type="pct"/>
            <w:tcBorders>
              <w:top w:val="nil"/>
              <w:left w:val="nil"/>
              <w:bottom w:val="single" w:sz="4" w:space="0" w:color="auto"/>
              <w:right w:val="nil"/>
            </w:tcBorders>
            <w:shd w:val="clear" w:color="auto" w:fill="F2F2F2" w:themeFill="background1" w:themeFillShade="F2"/>
            <w:vAlign w:val="center"/>
          </w:tcPr>
          <w:p w14:paraId="382A7E1D" w14:textId="0ADE3D5C" w:rsidR="00763C1C" w:rsidRPr="00763C1C" w:rsidRDefault="00763C1C" w:rsidP="00763C1C">
            <w:pPr>
              <w:jc w:val="center"/>
              <w:rPr>
                <w:rFonts w:ascii="Arial" w:hAnsi="Arial" w:cs="Arial"/>
                <w:color w:val="000000"/>
                <w:spacing w:val="0"/>
                <w:position w:val="0"/>
                <w:sz w:val="22"/>
                <w:szCs w:val="22"/>
              </w:rPr>
            </w:pPr>
            <w:r w:rsidRPr="00763C1C">
              <w:rPr>
                <w:rFonts w:ascii="Arial" w:hAnsi="Arial" w:cs="Arial"/>
                <w:color w:val="000000"/>
                <w:spacing w:val="0"/>
                <w:position w:val="0"/>
                <w:sz w:val="22"/>
                <w:szCs w:val="22"/>
              </w:rPr>
              <w:t>52,50</w:t>
            </w:r>
          </w:p>
        </w:tc>
        <w:tc>
          <w:tcPr>
            <w:tcW w:w="1398" w:type="pct"/>
            <w:gridSpan w:val="3"/>
            <w:tcBorders>
              <w:top w:val="nil"/>
              <w:left w:val="nil"/>
              <w:bottom w:val="single" w:sz="4" w:space="0" w:color="auto"/>
              <w:right w:val="nil"/>
            </w:tcBorders>
            <w:shd w:val="clear" w:color="auto" w:fill="F2F2F2" w:themeFill="background1" w:themeFillShade="F2"/>
            <w:vAlign w:val="center"/>
          </w:tcPr>
          <w:p w14:paraId="1158F9A5" w14:textId="76BEF9CA" w:rsidR="00763C1C" w:rsidRPr="00763C1C" w:rsidRDefault="00763C1C" w:rsidP="00763C1C">
            <w:pPr>
              <w:jc w:val="center"/>
              <w:rPr>
                <w:rFonts w:ascii="Arial" w:hAnsi="Arial" w:cs="Arial"/>
                <w:spacing w:val="0"/>
                <w:position w:val="0"/>
                <w:sz w:val="22"/>
                <w:szCs w:val="22"/>
              </w:rPr>
            </w:pPr>
            <w:r w:rsidRPr="00763C1C">
              <w:rPr>
                <w:rFonts w:ascii="Arial" w:hAnsi="Arial" w:cs="Arial"/>
                <w:spacing w:val="0"/>
                <w:position w:val="0"/>
                <w:sz w:val="22"/>
                <w:szCs w:val="22"/>
              </w:rPr>
              <w:t>-</w:t>
            </w:r>
          </w:p>
        </w:tc>
      </w:tr>
    </w:tbl>
    <w:p w14:paraId="27763CC0" w14:textId="77777777" w:rsidR="00541D5E" w:rsidRPr="00811E8D" w:rsidRDefault="00541D5E" w:rsidP="00AD2E13">
      <w:pPr>
        <w:shd w:val="clear" w:color="auto" w:fill="FFFFFF"/>
        <w:jc w:val="both"/>
        <w:rPr>
          <w:rFonts w:ascii="Arial" w:hAnsi="Arial" w:cs="Arial"/>
          <w:spacing w:val="0"/>
          <w:position w:val="0"/>
        </w:rPr>
      </w:pPr>
      <w:r w:rsidRPr="00811E8D">
        <w:rPr>
          <w:rFonts w:ascii="Arial" w:hAnsi="Arial" w:cs="Arial"/>
          <w:spacing w:val="0"/>
          <w:position w:val="0"/>
        </w:rPr>
        <w:t>Fonte: Dados da pesquisa.</w:t>
      </w:r>
    </w:p>
    <w:p w14:paraId="7E054CCA" w14:textId="77777777" w:rsidR="00541D5E" w:rsidRPr="00811E8D" w:rsidRDefault="00541D5E" w:rsidP="00AD2E13">
      <w:pPr>
        <w:shd w:val="clear" w:color="auto" w:fill="FFFFFF"/>
        <w:jc w:val="both"/>
        <w:rPr>
          <w:rFonts w:ascii="Arial" w:hAnsi="Arial" w:cs="Arial"/>
          <w:spacing w:val="0"/>
          <w:position w:val="0"/>
        </w:rPr>
      </w:pPr>
      <w:r w:rsidRPr="00811E8D">
        <w:rPr>
          <w:rFonts w:ascii="Arial" w:hAnsi="Arial" w:cs="Arial"/>
          <w:spacing w:val="0"/>
          <w:position w:val="0"/>
        </w:rPr>
        <w:t>Nota:</w:t>
      </w:r>
      <w:r w:rsidRPr="00811E8D">
        <w:rPr>
          <w:rFonts w:ascii="Arial" w:hAnsi="Arial" w:cs="Arial"/>
          <w:spacing w:val="0"/>
          <w:position w:val="0"/>
        </w:rPr>
        <w:tab/>
        <w:t>* Média anual de registros ± desvio padrão;</w:t>
      </w:r>
    </w:p>
    <w:p w14:paraId="2C5FE6AF" w14:textId="392D30D7" w:rsidR="00541D5E" w:rsidRPr="00811E8D" w:rsidRDefault="00541D5E" w:rsidP="00AD2E13">
      <w:pPr>
        <w:shd w:val="clear" w:color="auto" w:fill="FFFFFF"/>
        <w:ind w:firstLine="708"/>
        <w:jc w:val="both"/>
        <w:rPr>
          <w:rFonts w:ascii="Arial" w:hAnsi="Arial" w:cs="Arial"/>
          <w:spacing w:val="0"/>
          <w:position w:val="0"/>
        </w:rPr>
      </w:pPr>
      <w:r w:rsidRPr="00811E8D">
        <w:rPr>
          <w:rFonts w:ascii="Arial" w:hAnsi="Arial" w:cs="Arial"/>
          <w:spacing w:val="0"/>
          <w:position w:val="0"/>
        </w:rPr>
        <w:t xml:space="preserve">** Somatória dos outros </w:t>
      </w:r>
      <w:r w:rsidR="00091E7C" w:rsidRPr="00811E8D">
        <w:rPr>
          <w:rFonts w:ascii="Arial" w:hAnsi="Arial" w:cs="Arial"/>
          <w:spacing w:val="0"/>
          <w:position w:val="0"/>
        </w:rPr>
        <w:t>63</w:t>
      </w:r>
      <w:r w:rsidR="00B16153" w:rsidRPr="00811E8D">
        <w:rPr>
          <w:rFonts w:ascii="Arial" w:hAnsi="Arial" w:cs="Arial"/>
          <w:spacing w:val="0"/>
          <w:position w:val="0"/>
        </w:rPr>
        <w:t>8</w:t>
      </w:r>
      <w:r w:rsidRPr="00811E8D">
        <w:rPr>
          <w:rFonts w:ascii="Arial" w:hAnsi="Arial" w:cs="Arial"/>
          <w:spacing w:val="0"/>
          <w:position w:val="0"/>
        </w:rPr>
        <w:t xml:space="preserve"> CNAE com menos </w:t>
      </w:r>
      <w:r w:rsidR="00B16153" w:rsidRPr="00811E8D">
        <w:rPr>
          <w:rFonts w:ascii="Arial" w:hAnsi="Arial" w:cs="Arial"/>
          <w:spacing w:val="0"/>
          <w:position w:val="0"/>
        </w:rPr>
        <w:t xml:space="preserve">de 1% de </w:t>
      </w:r>
      <w:r w:rsidRPr="00811E8D">
        <w:rPr>
          <w:rFonts w:ascii="Arial" w:hAnsi="Arial" w:cs="Arial"/>
          <w:spacing w:val="0"/>
          <w:position w:val="0"/>
        </w:rPr>
        <w:t>ocorrência</w:t>
      </w:r>
      <w:r w:rsidR="00B16153" w:rsidRPr="00811E8D">
        <w:rPr>
          <w:rFonts w:ascii="Arial" w:hAnsi="Arial" w:cs="Arial"/>
          <w:spacing w:val="0"/>
          <w:position w:val="0"/>
        </w:rPr>
        <w:t xml:space="preserve"> cada.</w:t>
      </w:r>
    </w:p>
    <w:p w14:paraId="12D76D9D" w14:textId="77777777" w:rsidR="000413A3" w:rsidRPr="00811E8D" w:rsidRDefault="000413A3" w:rsidP="00AD2E13">
      <w:pPr>
        <w:rPr>
          <w:rFonts w:ascii="Arial" w:hAnsi="Arial" w:cs="Arial"/>
          <w:b/>
          <w:bCs/>
          <w:color w:val="FF0000"/>
          <w:spacing w:val="0"/>
          <w:position w:val="0"/>
        </w:rPr>
      </w:pPr>
    </w:p>
    <w:p w14:paraId="1428394B" w14:textId="4715FCC0" w:rsidR="007B05F5" w:rsidRPr="00811E8D" w:rsidRDefault="007D294F" w:rsidP="008D473A">
      <w:pPr>
        <w:shd w:val="clear" w:color="auto" w:fill="FFFFFF"/>
        <w:spacing w:line="360" w:lineRule="auto"/>
        <w:ind w:firstLine="709"/>
        <w:contextualSpacing/>
        <w:jc w:val="both"/>
        <w:rPr>
          <w:rFonts w:ascii="Arial" w:hAnsi="Arial" w:cs="Arial"/>
          <w:spacing w:val="0"/>
          <w:position w:val="0"/>
        </w:rPr>
      </w:pPr>
      <w:r w:rsidRPr="00811E8D">
        <w:rPr>
          <w:rFonts w:ascii="Arial" w:hAnsi="Arial" w:cs="Arial"/>
          <w:spacing w:val="0"/>
          <w:position w:val="0"/>
        </w:rPr>
        <w:t>Dentre as doenças ocupacionais, as DORT são consideradas de difícil tratamento e</w:t>
      </w:r>
      <w:r w:rsidR="00233995" w:rsidRPr="00811E8D">
        <w:rPr>
          <w:rFonts w:ascii="Arial" w:hAnsi="Arial" w:cs="Arial"/>
          <w:spacing w:val="0"/>
          <w:position w:val="0"/>
        </w:rPr>
        <w:t>,</w:t>
      </w:r>
      <w:r w:rsidRPr="00811E8D">
        <w:rPr>
          <w:rFonts w:ascii="Arial" w:hAnsi="Arial" w:cs="Arial"/>
          <w:spacing w:val="0"/>
          <w:position w:val="0"/>
        </w:rPr>
        <w:t xml:space="preserve"> normalmente</w:t>
      </w:r>
      <w:r w:rsidR="00233995" w:rsidRPr="00811E8D">
        <w:rPr>
          <w:rFonts w:ascii="Arial" w:hAnsi="Arial" w:cs="Arial"/>
          <w:spacing w:val="0"/>
          <w:position w:val="0"/>
        </w:rPr>
        <w:t>,</w:t>
      </w:r>
      <w:r w:rsidRPr="00811E8D">
        <w:rPr>
          <w:rFonts w:ascii="Arial" w:hAnsi="Arial" w:cs="Arial"/>
          <w:spacing w:val="0"/>
          <w:position w:val="0"/>
        </w:rPr>
        <w:t xml:space="preserve"> acarretam afastamento temporário ou permanente do trabalhador</w:t>
      </w:r>
      <w:r w:rsidR="007313FA" w:rsidRPr="00811E8D">
        <w:rPr>
          <w:rFonts w:ascii="Arial" w:hAnsi="Arial" w:cs="Arial"/>
          <w:spacing w:val="0"/>
          <w:position w:val="0"/>
        </w:rPr>
        <w:t xml:space="preserve">, </w:t>
      </w:r>
      <w:r w:rsidR="00330CCD" w:rsidRPr="00811E8D">
        <w:rPr>
          <w:rFonts w:ascii="Arial" w:hAnsi="Arial" w:cs="Arial"/>
          <w:spacing w:val="0"/>
          <w:position w:val="0"/>
        </w:rPr>
        <w:t>causando também</w:t>
      </w:r>
      <w:r w:rsidR="007313FA" w:rsidRPr="00811E8D">
        <w:rPr>
          <w:rFonts w:ascii="Arial" w:hAnsi="Arial" w:cs="Arial"/>
          <w:spacing w:val="0"/>
          <w:position w:val="0"/>
        </w:rPr>
        <w:t xml:space="preserve"> prejuízos às empresas</w:t>
      </w:r>
      <w:r w:rsidRPr="00811E8D">
        <w:rPr>
          <w:rFonts w:ascii="Arial" w:hAnsi="Arial" w:cs="Arial"/>
          <w:spacing w:val="0"/>
          <w:position w:val="0"/>
        </w:rPr>
        <w:t xml:space="preserve">. Dessa forma, fica evidente a necessidade de </w:t>
      </w:r>
      <w:r w:rsidR="007B05F5" w:rsidRPr="00811E8D">
        <w:rPr>
          <w:rFonts w:ascii="Arial" w:hAnsi="Arial" w:cs="Arial"/>
          <w:spacing w:val="0"/>
          <w:position w:val="0"/>
        </w:rPr>
        <w:t>políticas públicas e parcerias do setor público e privado</w:t>
      </w:r>
      <w:r w:rsidR="00233995" w:rsidRPr="00811E8D">
        <w:rPr>
          <w:rFonts w:ascii="Arial" w:hAnsi="Arial" w:cs="Arial"/>
          <w:spacing w:val="0"/>
          <w:position w:val="0"/>
        </w:rPr>
        <w:t>,</w:t>
      </w:r>
      <w:r w:rsidR="007B05F5" w:rsidRPr="00811E8D">
        <w:rPr>
          <w:rFonts w:ascii="Arial" w:hAnsi="Arial" w:cs="Arial"/>
          <w:spacing w:val="0"/>
          <w:position w:val="0"/>
        </w:rPr>
        <w:t xml:space="preserve"> direcionadas à prevenção e a promoção de ambientes de trabalho mais saudáveis.</w:t>
      </w:r>
      <w:r w:rsidRPr="00811E8D">
        <w:rPr>
          <w:rFonts w:ascii="Arial" w:hAnsi="Arial" w:cs="Arial"/>
          <w:spacing w:val="0"/>
          <w:position w:val="0"/>
        </w:rPr>
        <w:t xml:space="preserve"> </w:t>
      </w:r>
      <w:r w:rsidR="00330CCD" w:rsidRPr="00811E8D">
        <w:rPr>
          <w:rFonts w:ascii="Arial" w:hAnsi="Arial" w:cs="Arial"/>
          <w:spacing w:val="0"/>
          <w:position w:val="0"/>
        </w:rPr>
        <w:t xml:space="preserve">Em um levantamento </w:t>
      </w:r>
      <w:r w:rsidR="00080910">
        <w:rPr>
          <w:rFonts w:ascii="Arial" w:hAnsi="Arial" w:cs="Arial"/>
          <w:spacing w:val="0"/>
          <w:position w:val="0"/>
        </w:rPr>
        <w:t>conduzido por BARBOZA et al., (2008)</w:t>
      </w:r>
      <w:r w:rsidR="00330CCD" w:rsidRPr="00811E8D">
        <w:rPr>
          <w:rFonts w:ascii="Arial" w:hAnsi="Arial" w:cs="Arial"/>
          <w:spacing w:val="0"/>
          <w:position w:val="0"/>
        </w:rPr>
        <w:t xml:space="preserve">, </w:t>
      </w:r>
      <w:r w:rsidR="002046B1" w:rsidRPr="00811E8D">
        <w:rPr>
          <w:rFonts w:ascii="Arial" w:hAnsi="Arial" w:cs="Arial"/>
          <w:spacing w:val="0"/>
          <w:position w:val="0"/>
        </w:rPr>
        <w:t>onze dentre os treze</w:t>
      </w:r>
      <w:r w:rsidR="008646F7" w:rsidRPr="00811E8D">
        <w:rPr>
          <w:rFonts w:ascii="Arial" w:hAnsi="Arial" w:cs="Arial"/>
          <w:spacing w:val="0"/>
          <w:position w:val="0"/>
        </w:rPr>
        <w:t xml:space="preserve"> trabalhos consultados, afirmam que a</w:t>
      </w:r>
      <w:r w:rsidR="007B05F5" w:rsidRPr="00811E8D">
        <w:rPr>
          <w:rFonts w:ascii="Arial" w:hAnsi="Arial" w:cs="Arial"/>
          <w:spacing w:val="0"/>
          <w:position w:val="0"/>
        </w:rPr>
        <w:t xml:space="preserve"> redução dos casos </w:t>
      </w:r>
      <w:r w:rsidR="008646F7" w:rsidRPr="00811E8D">
        <w:rPr>
          <w:rFonts w:ascii="Arial" w:hAnsi="Arial" w:cs="Arial"/>
          <w:spacing w:val="0"/>
          <w:position w:val="0"/>
        </w:rPr>
        <w:t>de DORT</w:t>
      </w:r>
      <w:r w:rsidR="007B05F5" w:rsidRPr="00811E8D">
        <w:rPr>
          <w:rFonts w:ascii="Arial" w:hAnsi="Arial" w:cs="Arial"/>
          <w:spacing w:val="0"/>
          <w:position w:val="0"/>
        </w:rPr>
        <w:t xml:space="preserve"> </w:t>
      </w:r>
      <w:r w:rsidR="008646F7" w:rsidRPr="00811E8D">
        <w:rPr>
          <w:rFonts w:ascii="Arial" w:hAnsi="Arial" w:cs="Arial"/>
          <w:spacing w:val="0"/>
          <w:position w:val="0"/>
        </w:rPr>
        <w:t>podem</w:t>
      </w:r>
      <w:r w:rsidR="007B05F5" w:rsidRPr="00811E8D">
        <w:rPr>
          <w:rFonts w:ascii="Arial" w:hAnsi="Arial" w:cs="Arial"/>
          <w:spacing w:val="0"/>
          <w:position w:val="0"/>
        </w:rPr>
        <w:t xml:space="preserve"> </w:t>
      </w:r>
      <w:r w:rsidR="0036611C" w:rsidRPr="00811E8D">
        <w:rPr>
          <w:rFonts w:ascii="Arial" w:hAnsi="Arial" w:cs="Arial"/>
          <w:spacing w:val="0"/>
          <w:position w:val="0"/>
        </w:rPr>
        <w:t>ser c</w:t>
      </w:r>
      <w:r w:rsidR="008646F7" w:rsidRPr="00811E8D">
        <w:rPr>
          <w:rFonts w:ascii="Arial" w:hAnsi="Arial" w:cs="Arial"/>
          <w:spacing w:val="0"/>
          <w:position w:val="0"/>
        </w:rPr>
        <w:t>onquistados</w:t>
      </w:r>
      <w:r w:rsidR="007B05F5" w:rsidRPr="00811E8D">
        <w:rPr>
          <w:rFonts w:ascii="Arial" w:hAnsi="Arial" w:cs="Arial"/>
          <w:spacing w:val="0"/>
          <w:position w:val="0"/>
        </w:rPr>
        <w:t xml:space="preserve"> </w:t>
      </w:r>
      <w:r w:rsidRPr="00811E8D">
        <w:rPr>
          <w:rFonts w:ascii="Arial" w:hAnsi="Arial" w:cs="Arial"/>
          <w:spacing w:val="0"/>
          <w:position w:val="0"/>
        </w:rPr>
        <w:t>transferindo</w:t>
      </w:r>
      <w:r w:rsidR="007B05F5" w:rsidRPr="00811E8D">
        <w:rPr>
          <w:rFonts w:ascii="Arial" w:hAnsi="Arial" w:cs="Arial"/>
          <w:spacing w:val="0"/>
          <w:position w:val="0"/>
        </w:rPr>
        <w:t xml:space="preserve"> autonomia </w:t>
      </w:r>
      <w:r w:rsidRPr="00811E8D">
        <w:rPr>
          <w:rFonts w:ascii="Arial" w:hAnsi="Arial" w:cs="Arial"/>
          <w:spacing w:val="0"/>
          <w:position w:val="0"/>
        </w:rPr>
        <w:t>ao</w:t>
      </w:r>
      <w:r w:rsidR="007B05F5" w:rsidRPr="00811E8D">
        <w:rPr>
          <w:rFonts w:ascii="Arial" w:hAnsi="Arial" w:cs="Arial"/>
          <w:spacing w:val="0"/>
          <w:position w:val="0"/>
        </w:rPr>
        <w:t xml:space="preserve"> trabalhador sobre suas atividades</w:t>
      </w:r>
      <w:r w:rsidR="005B39B4" w:rsidRPr="00811E8D">
        <w:rPr>
          <w:rFonts w:ascii="Arial" w:hAnsi="Arial" w:cs="Arial"/>
          <w:spacing w:val="0"/>
          <w:position w:val="0"/>
        </w:rPr>
        <w:t>, com a organização</w:t>
      </w:r>
      <w:r w:rsidR="007B05F5" w:rsidRPr="00811E8D">
        <w:rPr>
          <w:rFonts w:ascii="Arial" w:hAnsi="Arial" w:cs="Arial"/>
          <w:spacing w:val="0"/>
          <w:position w:val="0"/>
        </w:rPr>
        <w:t xml:space="preserve"> dos postos de trabalho e </w:t>
      </w:r>
      <w:r w:rsidR="005B39B4" w:rsidRPr="00811E8D">
        <w:rPr>
          <w:rFonts w:ascii="Arial" w:hAnsi="Arial" w:cs="Arial"/>
          <w:spacing w:val="0"/>
          <w:position w:val="0"/>
        </w:rPr>
        <w:t>adequação</w:t>
      </w:r>
      <w:r w:rsidR="007B05F5" w:rsidRPr="00811E8D">
        <w:rPr>
          <w:rFonts w:ascii="Arial" w:hAnsi="Arial" w:cs="Arial"/>
          <w:spacing w:val="0"/>
          <w:position w:val="0"/>
        </w:rPr>
        <w:t xml:space="preserve"> </w:t>
      </w:r>
      <w:r w:rsidR="005B39B4" w:rsidRPr="00811E8D">
        <w:rPr>
          <w:rFonts w:ascii="Arial" w:hAnsi="Arial" w:cs="Arial"/>
          <w:spacing w:val="0"/>
          <w:position w:val="0"/>
        </w:rPr>
        <w:t>de um</w:t>
      </w:r>
      <w:r w:rsidR="007B05F5" w:rsidRPr="00811E8D">
        <w:rPr>
          <w:rFonts w:ascii="Arial" w:hAnsi="Arial" w:cs="Arial"/>
          <w:spacing w:val="0"/>
          <w:position w:val="0"/>
        </w:rPr>
        <w:t xml:space="preserve"> ritmo de execução das atividades que respeite principalmente os limites do corpo</w:t>
      </w:r>
      <w:r w:rsidR="005B39B4" w:rsidRPr="00811E8D">
        <w:rPr>
          <w:rFonts w:ascii="Arial" w:hAnsi="Arial" w:cs="Arial"/>
          <w:spacing w:val="0"/>
          <w:position w:val="0"/>
        </w:rPr>
        <w:t xml:space="preserve"> de cada indivíduo</w:t>
      </w:r>
      <w:r w:rsidR="008646F7" w:rsidRPr="00811E8D">
        <w:rPr>
          <w:rFonts w:ascii="Arial" w:hAnsi="Arial" w:cs="Arial"/>
          <w:spacing w:val="0"/>
          <w:position w:val="0"/>
        </w:rPr>
        <w:t>.</w:t>
      </w:r>
    </w:p>
    <w:p w14:paraId="3709F430" w14:textId="77777777" w:rsidR="00B93316" w:rsidRPr="00811E8D" w:rsidRDefault="00B93316" w:rsidP="00471E6B">
      <w:pPr>
        <w:shd w:val="clear" w:color="auto" w:fill="FFFFFF"/>
        <w:spacing w:line="360" w:lineRule="auto"/>
        <w:ind w:firstLine="567"/>
        <w:contextualSpacing/>
        <w:jc w:val="both"/>
        <w:rPr>
          <w:rFonts w:ascii="Arial" w:hAnsi="Arial" w:cs="Arial"/>
          <w:spacing w:val="0"/>
          <w:position w:val="0"/>
        </w:rPr>
      </w:pPr>
    </w:p>
    <w:p w14:paraId="33340702" w14:textId="63C4F4A9" w:rsidR="00646A4E" w:rsidRPr="00811E8D" w:rsidRDefault="004F5A8C" w:rsidP="00471E6B">
      <w:pPr>
        <w:spacing w:line="360" w:lineRule="auto"/>
        <w:contextualSpacing/>
        <w:jc w:val="both"/>
        <w:rPr>
          <w:rFonts w:ascii="Arial" w:hAnsi="Arial" w:cs="Arial"/>
          <w:b/>
          <w:spacing w:val="0"/>
          <w:position w:val="0"/>
        </w:rPr>
      </w:pPr>
      <w:r>
        <w:rPr>
          <w:rFonts w:ascii="Arial" w:hAnsi="Arial" w:cs="Arial"/>
          <w:b/>
          <w:spacing w:val="0"/>
          <w:position w:val="0"/>
        </w:rPr>
        <w:t>Considerações finais</w:t>
      </w:r>
    </w:p>
    <w:p w14:paraId="797AC5E1" w14:textId="77777777" w:rsidR="00057832" w:rsidRPr="00811E8D" w:rsidRDefault="00057832" w:rsidP="00471E6B">
      <w:pPr>
        <w:spacing w:line="360" w:lineRule="auto"/>
        <w:contextualSpacing/>
        <w:jc w:val="both"/>
        <w:rPr>
          <w:rFonts w:ascii="Arial" w:hAnsi="Arial" w:cs="Arial"/>
          <w:b/>
          <w:spacing w:val="0"/>
          <w:position w:val="0"/>
        </w:rPr>
      </w:pPr>
    </w:p>
    <w:p w14:paraId="5DB90009" w14:textId="42116BE1" w:rsidR="00893CCC" w:rsidRPr="00811E8D" w:rsidRDefault="00893CCC"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 xml:space="preserve">Pode-se concluir com esse estudo que </w:t>
      </w:r>
      <w:r w:rsidR="009807DF" w:rsidRPr="00811E8D">
        <w:rPr>
          <w:rFonts w:ascii="Arial" w:hAnsi="Arial" w:cs="Arial"/>
          <w:spacing w:val="0"/>
          <w:position w:val="0"/>
        </w:rPr>
        <w:t xml:space="preserve">a redução anual e gradativa dos registros de doenças ocupacionais </w:t>
      </w:r>
      <w:r w:rsidRPr="00811E8D">
        <w:rPr>
          <w:rFonts w:ascii="Arial" w:hAnsi="Arial" w:cs="Arial"/>
          <w:spacing w:val="0"/>
          <w:position w:val="0"/>
        </w:rPr>
        <w:t>no Estado de São Paulo</w:t>
      </w:r>
      <w:r w:rsidR="009807DF" w:rsidRPr="00811E8D">
        <w:rPr>
          <w:rFonts w:ascii="Arial" w:hAnsi="Arial" w:cs="Arial"/>
          <w:spacing w:val="0"/>
          <w:position w:val="0"/>
        </w:rPr>
        <w:t xml:space="preserve">, </w:t>
      </w:r>
      <w:r w:rsidRPr="00811E8D">
        <w:rPr>
          <w:rFonts w:ascii="Arial" w:hAnsi="Arial" w:cs="Arial"/>
          <w:spacing w:val="0"/>
          <w:position w:val="0"/>
        </w:rPr>
        <w:t>não pode ser considerad</w:t>
      </w:r>
      <w:r w:rsidR="009807DF" w:rsidRPr="00811E8D">
        <w:rPr>
          <w:rFonts w:ascii="Arial" w:hAnsi="Arial" w:cs="Arial"/>
          <w:spacing w:val="0"/>
          <w:position w:val="0"/>
        </w:rPr>
        <w:t>a</w:t>
      </w:r>
      <w:r w:rsidRPr="00811E8D">
        <w:rPr>
          <w:rFonts w:ascii="Arial" w:hAnsi="Arial" w:cs="Arial"/>
          <w:spacing w:val="0"/>
          <w:position w:val="0"/>
        </w:rPr>
        <w:t xml:space="preserve"> como</w:t>
      </w:r>
      <w:r w:rsidR="009807DF" w:rsidRPr="00811E8D">
        <w:rPr>
          <w:rFonts w:ascii="Arial" w:hAnsi="Arial" w:cs="Arial"/>
          <w:spacing w:val="0"/>
          <w:position w:val="0"/>
        </w:rPr>
        <w:t xml:space="preserve"> um indicativo</w:t>
      </w:r>
      <w:r w:rsidRPr="00811E8D">
        <w:rPr>
          <w:rFonts w:ascii="Arial" w:hAnsi="Arial" w:cs="Arial"/>
          <w:spacing w:val="0"/>
          <w:position w:val="0"/>
        </w:rPr>
        <w:t xml:space="preserve"> positivo absoluto, pois a proporção de DORT em relação às outras doenças continua elevada. </w:t>
      </w:r>
    </w:p>
    <w:p w14:paraId="31645D66" w14:textId="3038BBF5" w:rsidR="0003388C" w:rsidRPr="00811E8D" w:rsidRDefault="0003388C" w:rsidP="008D473A">
      <w:pPr>
        <w:shd w:val="clear" w:color="auto" w:fill="FFFFFF"/>
        <w:spacing w:line="360" w:lineRule="auto"/>
        <w:ind w:firstLine="709"/>
        <w:contextualSpacing/>
        <w:jc w:val="both"/>
        <w:rPr>
          <w:rFonts w:ascii="Arial" w:hAnsi="Arial" w:cs="Arial"/>
          <w:spacing w:val="0"/>
          <w:position w:val="0"/>
        </w:rPr>
      </w:pPr>
      <w:r w:rsidRPr="00811E8D">
        <w:rPr>
          <w:rFonts w:ascii="Arial" w:hAnsi="Arial" w:cs="Arial"/>
          <w:spacing w:val="0"/>
          <w:position w:val="0"/>
        </w:rPr>
        <w:lastRenderedPageBreak/>
        <w:t>A</w:t>
      </w:r>
      <w:r w:rsidR="00330CCD" w:rsidRPr="00811E8D">
        <w:rPr>
          <w:rFonts w:ascii="Arial" w:hAnsi="Arial" w:cs="Arial"/>
          <w:spacing w:val="0"/>
          <w:position w:val="0"/>
        </w:rPr>
        <w:t>s</w:t>
      </w:r>
      <w:r w:rsidRPr="00811E8D">
        <w:rPr>
          <w:rFonts w:ascii="Arial" w:hAnsi="Arial" w:cs="Arial"/>
          <w:spacing w:val="0"/>
          <w:position w:val="0"/>
        </w:rPr>
        <w:t xml:space="preserve"> correlaç</w:t>
      </w:r>
      <w:r w:rsidR="00330CCD" w:rsidRPr="00811E8D">
        <w:rPr>
          <w:rFonts w:ascii="Arial" w:hAnsi="Arial" w:cs="Arial"/>
          <w:spacing w:val="0"/>
          <w:position w:val="0"/>
        </w:rPr>
        <w:t>ões</w:t>
      </w:r>
      <w:r w:rsidRPr="00811E8D">
        <w:rPr>
          <w:rFonts w:ascii="Arial" w:hAnsi="Arial" w:cs="Arial"/>
          <w:spacing w:val="0"/>
          <w:position w:val="0"/>
        </w:rPr>
        <w:t xml:space="preserve"> estatística</w:t>
      </w:r>
      <w:r w:rsidR="00330CCD" w:rsidRPr="00811E8D">
        <w:rPr>
          <w:rFonts w:ascii="Arial" w:hAnsi="Arial" w:cs="Arial"/>
          <w:spacing w:val="0"/>
          <w:position w:val="0"/>
        </w:rPr>
        <w:t>s</w:t>
      </w:r>
      <w:r w:rsidRPr="00811E8D">
        <w:rPr>
          <w:rFonts w:ascii="Arial" w:hAnsi="Arial" w:cs="Arial"/>
          <w:spacing w:val="0"/>
          <w:position w:val="0"/>
        </w:rPr>
        <w:t xml:space="preserve"> existente</w:t>
      </w:r>
      <w:r w:rsidR="00330CCD" w:rsidRPr="00811E8D">
        <w:rPr>
          <w:rFonts w:ascii="Arial" w:hAnsi="Arial" w:cs="Arial"/>
          <w:spacing w:val="0"/>
          <w:position w:val="0"/>
        </w:rPr>
        <w:t>s</w:t>
      </w:r>
      <w:r w:rsidRPr="00811E8D">
        <w:rPr>
          <w:rFonts w:ascii="Arial" w:hAnsi="Arial" w:cs="Arial"/>
          <w:spacing w:val="0"/>
          <w:position w:val="0"/>
        </w:rPr>
        <w:t xml:space="preserve"> entre o PIB e IDHM em relação às doenças do trabalho nas principais cidades do Estado também revela</w:t>
      </w:r>
      <w:r w:rsidR="00330CCD" w:rsidRPr="00811E8D">
        <w:rPr>
          <w:rFonts w:ascii="Arial" w:hAnsi="Arial" w:cs="Arial"/>
          <w:spacing w:val="0"/>
          <w:position w:val="0"/>
        </w:rPr>
        <w:t>m</w:t>
      </w:r>
      <w:r w:rsidRPr="00811E8D">
        <w:rPr>
          <w:rFonts w:ascii="Arial" w:hAnsi="Arial" w:cs="Arial"/>
          <w:spacing w:val="0"/>
          <w:position w:val="0"/>
        </w:rPr>
        <w:t xml:space="preserve"> a importância de políticas públicas aliadas a compromissos sociais em busca de melhorias na qualidade de vida dos trabalhadores.</w:t>
      </w:r>
    </w:p>
    <w:p w14:paraId="6DCB42D6" w14:textId="76064710" w:rsidR="00DD471E" w:rsidRPr="00811E8D" w:rsidRDefault="00893CCC" w:rsidP="008D473A">
      <w:pPr>
        <w:spacing w:line="360" w:lineRule="auto"/>
        <w:ind w:firstLine="709"/>
        <w:contextualSpacing/>
        <w:jc w:val="both"/>
        <w:rPr>
          <w:rFonts w:ascii="Arial" w:hAnsi="Arial" w:cs="Arial"/>
          <w:spacing w:val="0"/>
          <w:position w:val="0"/>
        </w:rPr>
      </w:pPr>
      <w:r w:rsidRPr="00811E8D">
        <w:rPr>
          <w:rFonts w:ascii="Arial" w:hAnsi="Arial" w:cs="Arial"/>
          <w:spacing w:val="0"/>
          <w:position w:val="0"/>
        </w:rPr>
        <w:t>O</w:t>
      </w:r>
      <w:r w:rsidR="00B358E4" w:rsidRPr="00811E8D">
        <w:rPr>
          <w:rFonts w:ascii="Arial" w:hAnsi="Arial" w:cs="Arial"/>
          <w:spacing w:val="0"/>
          <w:position w:val="0"/>
        </w:rPr>
        <w:t xml:space="preserve">s fatores ergonômicos e a organização do trabalho </w:t>
      </w:r>
      <w:r w:rsidRPr="00811E8D">
        <w:rPr>
          <w:rFonts w:ascii="Arial" w:hAnsi="Arial" w:cs="Arial"/>
          <w:spacing w:val="0"/>
          <w:position w:val="0"/>
        </w:rPr>
        <w:t>são importantes</w:t>
      </w:r>
      <w:r w:rsidR="00B358E4" w:rsidRPr="00811E8D">
        <w:rPr>
          <w:rFonts w:ascii="Arial" w:hAnsi="Arial" w:cs="Arial"/>
          <w:spacing w:val="0"/>
          <w:position w:val="0"/>
        </w:rPr>
        <w:t xml:space="preserve"> para minimizar os </w:t>
      </w:r>
      <w:r w:rsidRPr="00811E8D">
        <w:rPr>
          <w:rFonts w:ascii="Arial" w:hAnsi="Arial" w:cs="Arial"/>
          <w:spacing w:val="0"/>
          <w:position w:val="0"/>
        </w:rPr>
        <w:t xml:space="preserve">distúrbios osteomusculares, assim como os investimentos </w:t>
      </w:r>
      <w:r w:rsidR="00B358E4" w:rsidRPr="00811E8D">
        <w:rPr>
          <w:rFonts w:ascii="Arial" w:hAnsi="Arial" w:cs="Arial"/>
          <w:spacing w:val="0"/>
          <w:position w:val="0"/>
        </w:rPr>
        <w:t>em programas de promoção da saúde</w:t>
      </w:r>
      <w:r w:rsidR="005F0D79" w:rsidRPr="00811E8D">
        <w:rPr>
          <w:rFonts w:ascii="Arial" w:hAnsi="Arial" w:cs="Arial"/>
          <w:spacing w:val="0"/>
          <w:position w:val="0"/>
        </w:rPr>
        <w:t xml:space="preserve"> </w:t>
      </w:r>
      <w:r w:rsidR="00B358E4" w:rsidRPr="00811E8D">
        <w:rPr>
          <w:rFonts w:ascii="Arial" w:hAnsi="Arial" w:cs="Arial"/>
          <w:spacing w:val="0"/>
          <w:position w:val="0"/>
        </w:rPr>
        <w:t>e prevenção de doenças</w:t>
      </w:r>
      <w:r w:rsidRPr="00811E8D">
        <w:rPr>
          <w:rFonts w:ascii="Arial" w:hAnsi="Arial" w:cs="Arial"/>
          <w:spacing w:val="0"/>
          <w:position w:val="0"/>
        </w:rPr>
        <w:t xml:space="preserve"> ocupacionais, a fim de proporcionar cada vez mais, ambientes </w:t>
      </w:r>
      <w:r w:rsidR="00B358E4" w:rsidRPr="00811E8D">
        <w:rPr>
          <w:rFonts w:ascii="Arial" w:hAnsi="Arial" w:cs="Arial"/>
          <w:spacing w:val="0"/>
          <w:position w:val="0"/>
        </w:rPr>
        <w:t>adequados a</w:t>
      </w:r>
      <w:r w:rsidRPr="00811E8D">
        <w:rPr>
          <w:rFonts w:ascii="Arial" w:hAnsi="Arial" w:cs="Arial"/>
          <w:spacing w:val="0"/>
          <w:position w:val="0"/>
        </w:rPr>
        <w:t xml:space="preserve"> cada tipo </w:t>
      </w:r>
      <w:r w:rsidR="00B358E4" w:rsidRPr="00811E8D">
        <w:rPr>
          <w:rFonts w:ascii="Arial" w:hAnsi="Arial" w:cs="Arial"/>
          <w:spacing w:val="0"/>
          <w:position w:val="0"/>
        </w:rPr>
        <w:t xml:space="preserve">de trabalho e assegurar ao trabalhador condições favoráveis </w:t>
      </w:r>
      <w:r w:rsidRPr="00811E8D">
        <w:rPr>
          <w:rFonts w:ascii="Arial" w:hAnsi="Arial" w:cs="Arial"/>
          <w:spacing w:val="0"/>
          <w:position w:val="0"/>
        </w:rPr>
        <w:t>tanto no interior quanto nas cidades de grande porte.</w:t>
      </w:r>
    </w:p>
    <w:p w14:paraId="5211B2AD" w14:textId="77777777" w:rsidR="00057832" w:rsidRPr="00811E8D" w:rsidRDefault="00057832" w:rsidP="00471E6B">
      <w:pPr>
        <w:spacing w:line="360" w:lineRule="auto"/>
        <w:ind w:firstLine="567"/>
        <w:contextualSpacing/>
        <w:jc w:val="both"/>
        <w:rPr>
          <w:rFonts w:ascii="Arial" w:hAnsi="Arial" w:cs="Arial"/>
          <w:color w:val="FF0000"/>
          <w:spacing w:val="0"/>
          <w:position w:val="0"/>
        </w:rPr>
      </w:pPr>
    </w:p>
    <w:p w14:paraId="026D2A5A" w14:textId="77777777" w:rsidR="00763C1C" w:rsidRDefault="0023530B" w:rsidP="00763C1C">
      <w:pPr>
        <w:spacing w:line="360" w:lineRule="auto"/>
        <w:contextualSpacing/>
        <w:jc w:val="both"/>
        <w:rPr>
          <w:rFonts w:ascii="Arial" w:hAnsi="Arial" w:cs="Arial"/>
          <w:b/>
          <w:spacing w:val="0"/>
          <w:position w:val="0"/>
        </w:rPr>
      </w:pPr>
      <w:r w:rsidRPr="00811E8D">
        <w:rPr>
          <w:rFonts w:ascii="Arial" w:hAnsi="Arial" w:cs="Arial"/>
          <w:b/>
          <w:spacing w:val="0"/>
          <w:position w:val="0"/>
        </w:rPr>
        <w:t>Referências</w:t>
      </w:r>
    </w:p>
    <w:p w14:paraId="2D2C8B20" w14:textId="77777777" w:rsidR="00043C4E" w:rsidRDefault="00043C4E" w:rsidP="00763C1C">
      <w:pPr>
        <w:spacing w:line="360" w:lineRule="auto"/>
        <w:contextualSpacing/>
        <w:jc w:val="both"/>
        <w:rPr>
          <w:rFonts w:ascii="Arial" w:hAnsi="Arial" w:cs="Arial"/>
          <w:b/>
          <w:spacing w:val="0"/>
          <w:position w:val="0"/>
        </w:rPr>
      </w:pPr>
    </w:p>
    <w:p w14:paraId="22CD53CB" w14:textId="77777777" w:rsidR="005C3B36" w:rsidRPr="005C3B36" w:rsidRDefault="005C3B36" w:rsidP="00763C1C">
      <w:pPr>
        <w:contextualSpacing/>
        <w:rPr>
          <w:rFonts w:ascii="Arial" w:hAnsi="Arial" w:cs="Arial"/>
          <w:spacing w:val="0"/>
          <w:position w:val="0"/>
        </w:rPr>
      </w:pPr>
      <w:r w:rsidRPr="005C3B36">
        <w:rPr>
          <w:rFonts w:ascii="Arial" w:hAnsi="Arial" w:cs="Arial"/>
          <w:spacing w:val="0"/>
          <w:position w:val="0"/>
        </w:rPr>
        <w:t xml:space="preserve">BARBOZA, M. C. N., MILBRATH, V. M., BIELEMANN, V. M., SIQUEIRA, H. C. H. Doenças osteomusculares relacionadas ao trabalho (DORT) e sua associação com a enfermagem ocupacional. </w:t>
      </w:r>
      <w:r w:rsidRPr="005C3B36">
        <w:rPr>
          <w:rFonts w:ascii="Arial" w:hAnsi="Arial" w:cs="Arial"/>
          <w:b/>
          <w:bCs/>
          <w:spacing w:val="0"/>
          <w:position w:val="0"/>
        </w:rPr>
        <w:t>Revista Gaúcha de Enfermagem</w:t>
      </w:r>
      <w:r w:rsidRPr="005C3B36">
        <w:rPr>
          <w:rFonts w:ascii="Arial" w:hAnsi="Arial" w:cs="Arial"/>
          <w:spacing w:val="0"/>
          <w:position w:val="0"/>
        </w:rPr>
        <w:t>, v. 29, n. 4, p. 633-638, 2008.</w:t>
      </w:r>
    </w:p>
    <w:p w14:paraId="3A14500A" w14:textId="77777777" w:rsidR="005C3B36" w:rsidRPr="005C3B36" w:rsidRDefault="005C3B36" w:rsidP="00763C1C">
      <w:pPr>
        <w:contextualSpacing/>
        <w:rPr>
          <w:rFonts w:ascii="Arial" w:hAnsi="Arial" w:cs="Arial"/>
          <w:spacing w:val="0"/>
          <w:position w:val="0"/>
          <w:shd w:val="clear" w:color="auto" w:fill="FFFFFF"/>
        </w:rPr>
      </w:pPr>
    </w:p>
    <w:p w14:paraId="384F5970" w14:textId="77777777" w:rsidR="005C3B36" w:rsidRPr="005C3B36" w:rsidRDefault="005C3B36" w:rsidP="00763C1C">
      <w:pPr>
        <w:contextualSpacing/>
        <w:rPr>
          <w:rFonts w:ascii="Arial" w:hAnsi="Arial" w:cs="Arial"/>
          <w:spacing w:val="0"/>
          <w:position w:val="0"/>
          <w:shd w:val="clear" w:color="auto" w:fill="FFFFFF"/>
        </w:rPr>
      </w:pPr>
      <w:r w:rsidRPr="005C3B36">
        <w:rPr>
          <w:rFonts w:ascii="Arial" w:hAnsi="Arial" w:cs="Arial"/>
          <w:spacing w:val="0"/>
          <w:position w:val="0"/>
          <w:shd w:val="clear" w:color="auto" w:fill="FFFFFF"/>
        </w:rPr>
        <w:t xml:space="preserve">BRASIL. Lei nº 8.213 de 24 de julhos de 1991. Dispõe sobre os Planos de Benefícios da Previdência Social e dá outras providências. </w:t>
      </w:r>
      <w:r w:rsidRPr="005C3B36">
        <w:rPr>
          <w:rFonts w:ascii="Arial" w:hAnsi="Arial" w:cs="Arial"/>
          <w:b/>
          <w:spacing w:val="0"/>
          <w:position w:val="0"/>
          <w:shd w:val="clear" w:color="auto" w:fill="FFFFFF"/>
        </w:rPr>
        <w:t>Diário Oficial da União.</w:t>
      </w:r>
      <w:r w:rsidRPr="005C3B36">
        <w:rPr>
          <w:rFonts w:ascii="Arial" w:hAnsi="Arial" w:cs="Arial"/>
          <w:spacing w:val="0"/>
          <w:position w:val="0"/>
          <w:shd w:val="clear" w:color="auto" w:fill="FFFFFF"/>
        </w:rPr>
        <w:t xml:space="preserve"> Brasília, DF, 1991. Disponível em: &lt;</w:t>
      </w:r>
      <w:r w:rsidRPr="005C3B36">
        <w:rPr>
          <w:rFonts w:ascii="Arial" w:hAnsi="Arial" w:cs="Arial"/>
          <w:spacing w:val="0"/>
          <w:position w:val="0"/>
        </w:rPr>
        <w:t xml:space="preserve"> </w:t>
      </w:r>
      <w:hyperlink r:id="rId16" w:history="1">
        <w:r w:rsidRPr="005C3B36">
          <w:rPr>
            <w:rStyle w:val="Hyperlink"/>
            <w:rFonts w:ascii="Arial" w:hAnsi="Arial" w:cs="Arial"/>
            <w:color w:val="auto"/>
            <w:spacing w:val="0"/>
            <w:position w:val="0"/>
          </w:rPr>
          <w:t>http://www.planalto.gov.br/ccivil_03/leis/l8213cons.htm</w:t>
        </w:r>
      </w:hyperlink>
      <w:r w:rsidRPr="005C3B36">
        <w:rPr>
          <w:rStyle w:val="Hyperlink"/>
          <w:rFonts w:ascii="Arial" w:hAnsi="Arial" w:cs="Arial"/>
          <w:color w:val="auto"/>
          <w:spacing w:val="0"/>
          <w:position w:val="0"/>
          <w:shd w:val="clear" w:color="auto" w:fill="FFFFFF"/>
        </w:rPr>
        <w:t>&gt;</w:t>
      </w:r>
      <w:r w:rsidRPr="005C3B36">
        <w:rPr>
          <w:rFonts w:ascii="Arial" w:hAnsi="Arial" w:cs="Arial"/>
          <w:spacing w:val="0"/>
          <w:position w:val="0"/>
          <w:shd w:val="clear" w:color="auto" w:fill="FFFFFF"/>
        </w:rPr>
        <w:t>. Acesso em: 21 abr. 2020.</w:t>
      </w:r>
    </w:p>
    <w:p w14:paraId="5726F44E" w14:textId="77777777" w:rsidR="005C3B36" w:rsidRPr="005C3B36" w:rsidRDefault="005C3B36" w:rsidP="00763C1C">
      <w:pPr>
        <w:contextualSpacing/>
        <w:rPr>
          <w:rFonts w:ascii="Arial" w:hAnsi="Arial" w:cs="Arial"/>
          <w:spacing w:val="0"/>
          <w:position w:val="0"/>
          <w:shd w:val="clear" w:color="auto" w:fill="FFFFFF"/>
        </w:rPr>
      </w:pPr>
    </w:p>
    <w:p w14:paraId="0C772D47" w14:textId="517AC512" w:rsidR="005C3B36" w:rsidRDefault="005C3B36" w:rsidP="00763C1C">
      <w:pPr>
        <w:contextualSpacing/>
        <w:rPr>
          <w:rFonts w:ascii="Arial" w:hAnsi="Arial" w:cs="Arial"/>
          <w:spacing w:val="0"/>
          <w:position w:val="0"/>
        </w:rPr>
      </w:pPr>
      <w:r w:rsidRPr="005C3B36">
        <w:rPr>
          <w:rFonts w:ascii="Arial" w:hAnsi="Arial" w:cs="Arial"/>
          <w:spacing w:val="0"/>
          <w:position w:val="0"/>
        </w:rPr>
        <w:t xml:space="preserve">BRASIL. NR 17 – Ergonomia. Estabelece parâmetros que permitam a adaptação das condições de trabalho às características psicofisiológicas dos trabalhadores, de modo a proporcionar um máximo de conforto, segurança e desempenho eficiente. </w:t>
      </w:r>
      <w:r w:rsidRPr="005C3B36">
        <w:rPr>
          <w:rFonts w:ascii="Arial" w:hAnsi="Arial" w:cs="Arial"/>
          <w:b/>
          <w:spacing w:val="0"/>
          <w:position w:val="0"/>
          <w:shd w:val="clear" w:color="auto" w:fill="FFFFFF"/>
        </w:rPr>
        <w:t>Diário Oficial da União.</w:t>
      </w:r>
      <w:r w:rsidRPr="005C3B36">
        <w:rPr>
          <w:rFonts w:ascii="Arial" w:hAnsi="Arial" w:cs="Arial"/>
          <w:spacing w:val="0"/>
          <w:position w:val="0"/>
          <w:shd w:val="clear" w:color="auto" w:fill="FFFFFF"/>
        </w:rPr>
        <w:t xml:space="preserve"> Brasília, DF, 2018. </w:t>
      </w:r>
      <w:r w:rsidRPr="005C3B36">
        <w:rPr>
          <w:rFonts w:ascii="Arial" w:hAnsi="Arial" w:cs="Arial"/>
          <w:spacing w:val="0"/>
          <w:position w:val="0"/>
        </w:rPr>
        <w:t xml:space="preserve">Disponível em: </w:t>
      </w:r>
      <w:hyperlink r:id="rId17" w:history="1">
        <w:r w:rsidRPr="005C3B36">
          <w:rPr>
            <w:rStyle w:val="Hyperlink"/>
            <w:rFonts w:ascii="Arial" w:hAnsi="Arial" w:cs="Arial"/>
            <w:color w:val="auto"/>
            <w:spacing w:val="0"/>
            <w:position w:val="0"/>
          </w:rPr>
          <w:t>https://enit.trabalho.gov.br/portal/images/Arquivos_SST/SST_NR/NR-17.pdf</w:t>
        </w:r>
      </w:hyperlink>
      <w:r w:rsidRPr="005C3B36">
        <w:rPr>
          <w:rFonts w:ascii="Arial" w:hAnsi="Arial" w:cs="Arial"/>
          <w:spacing w:val="0"/>
          <w:position w:val="0"/>
        </w:rPr>
        <w:t>. Acesso em: 10 abr. 2020.</w:t>
      </w:r>
    </w:p>
    <w:p w14:paraId="6DE723E5" w14:textId="77777777" w:rsidR="008D473A" w:rsidRPr="005C3B36" w:rsidRDefault="008D473A" w:rsidP="00763C1C">
      <w:pPr>
        <w:contextualSpacing/>
        <w:rPr>
          <w:rFonts w:ascii="Arial" w:hAnsi="Arial" w:cs="Arial"/>
          <w:spacing w:val="0"/>
          <w:position w:val="0"/>
          <w:shd w:val="clear" w:color="auto" w:fill="FFFFFF"/>
        </w:rPr>
      </w:pPr>
    </w:p>
    <w:p w14:paraId="5310C792" w14:textId="77777777" w:rsidR="005C3B36" w:rsidRPr="00F24062" w:rsidRDefault="005C3B36" w:rsidP="00763C1C">
      <w:pPr>
        <w:contextualSpacing/>
        <w:rPr>
          <w:rFonts w:ascii="Arial" w:hAnsi="Arial" w:cs="Arial"/>
          <w:spacing w:val="0"/>
          <w:position w:val="0"/>
          <w:shd w:val="clear" w:color="auto" w:fill="FFFFFF"/>
        </w:rPr>
      </w:pPr>
      <w:r w:rsidRPr="005C3B36">
        <w:rPr>
          <w:rFonts w:ascii="Arial" w:hAnsi="Arial" w:cs="Arial"/>
          <w:spacing w:val="0"/>
          <w:position w:val="0"/>
          <w:shd w:val="clear" w:color="auto" w:fill="FFFFFF"/>
        </w:rPr>
        <w:t xml:space="preserve">BRASIL. Previdência Social Brasileira - </w:t>
      </w:r>
      <w:proofErr w:type="spellStart"/>
      <w:r w:rsidRPr="005C3B36">
        <w:rPr>
          <w:rFonts w:ascii="Arial" w:hAnsi="Arial" w:cs="Arial"/>
          <w:spacing w:val="0"/>
          <w:position w:val="0"/>
          <w:shd w:val="clear" w:color="auto" w:fill="FFFFFF"/>
        </w:rPr>
        <w:t>DataPrev</w:t>
      </w:r>
      <w:proofErr w:type="spellEnd"/>
      <w:r w:rsidRPr="005C3B36">
        <w:rPr>
          <w:rFonts w:ascii="Arial" w:hAnsi="Arial" w:cs="Arial"/>
          <w:spacing w:val="0"/>
          <w:position w:val="0"/>
          <w:shd w:val="clear" w:color="auto" w:fill="FFFFFF"/>
        </w:rPr>
        <w:t>. Instituto Nacional do Seguro Social - INSS. </w:t>
      </w:r>
      <w:r w:rsidRPr="005C3B36">
        <w:rPr>
          <w:rStyle w:val="Forte"/>
          <w:rFonts w:ascii="Arial" w:hAnsi="Arial" w:cs="Arial"/>
          <w:spacing w:val="0"/>
          <w:position w:val="0"/>
          <w:shd w:val="clear" w:color="auto" w:fill="FFFFFF"/>
        </w:rPr>
        <w:t>INFOLOGO AEAT</w:t>
      </w:r>
      <w:r w:rsidRPr="005C3B36">
        <w:rPr>
          <w:rFonts w:ascii="Arial" w:hAnsi="Arial" w:cs="Arial"/>
          <w:spacing w:val="0"/>
          <w:position w:val="0"/>
          <w:shd w:val="clear" w:color="auto" w:fill="FFFFFF"/>
        </w:rPr>
        <w:t>: Base de dados históricos de acidentes do trabalho. 2020. Disponível em: &lt;</w:t>
      </w:r>
      <w:hyperlink r:id="rId18" w:history="1">
        <w:r w:rsidRPr="005C3B36">
          <w:rPr>
            <w:rStyle w:val="Hyperlink"/>
            <w:rFonts w:ascii="Arial" w:hAnsi="Arial" w:cs="Arial"/>
            <w:color w:val="auto"/>
            <w:spacing w:val="0"/>
            <w:position w:val="0"/>
            <w:shd w:val="clear" w:color="auto" w:fill="FFFFFF"/>
          </w:rPr>
          <w:t>http://www3.dataprev.gov.br/aeat</w:t>
        </w:r>
      </w:hyperlink>
      <w:r w:rsidRPr="005C3B36">
        <w:rPr>
          <w:rFonts w:ascii="Arial" w:hAnsi="Arial" w:cs="Arial"/>
          <w:spacing w:val="0"/>
          <w:position w:val="0"/>
          <w:shd w:val="clear" w:color="auto" w:fill="FFFFFF"/>
        </w:rPr>
        <w:t xml:space="preserve">&gt;. </w:t>
      </w:r>
      <w:r w:rsidRPr="00F24062">
        <w:rPr>
          <w:rFonts w:ascii="Arial" w:hAnsi="Arial" w:cs="Arial"/>
          <w:spacing w:val="0"/>
          <w:position w:val="0"/>
          <w:shd w:val="clear" w:color="auto" w:fill="FFFFFF"/>
        </w:rPr>
        <w:t>Acesso em: 06 abr. 2020.</w:t>
      </w:r>
    </w:p>
    <w:p w14:paraId="45C51085" w14:textId="77777777" w:rsidR="005C3B36" w:rsidRPr="00F24062" w:rsidRDefault="005C3B36" w:rsidP="00763C1C">
      <w:pPr>
        <w:contextualSpacing/>
        <w:rPr>
          <w:rFonts w:ascii="Arial" w:hAnsi="Arial" w:cs="Arial"/>
          <w:spacing w:val="0"/>
          <w:position w:val="0"/>
          <w:shd w:val="clear" w:color="auto" w:fill="FFFFFF"/>
        </w:rPr>
      </w:pPr>
    </w:p>
    <w:p w14:paraId="3417880C" w14:textId="77777777" w:rsidR="005C3B36" w:rsidRPr="005C3B36" w:rsidRDefault="005C3B36" w:rsidP="00763C1C">
      <w:pPr>
        <w:contextualSpacing/>
        <w:rPr>
          <w:rFonts w:ascii="Arial" w:hAnsi="Arial" w:cs="Arial"/>
          <w:spacing w:val="0"/>
          <w:position w:val="0"/>
          <w:lang w:val="en-US"/>
        </w:rPr>
      </w:pPr>
      <w:r w:rsidRPr="005C3B36">
        <w:rPr>
          <w:rFonts w:ascii="Arial" w:hAnsi="Arial" w:cs="Arial"/>
          <w:spacing w:val="0"/>
          <w:position w:val="0"/>
          <w:lang w:val="en-US"/>
        </w:rPr>
        <w:t xml:space="preserve">CHIKOTAS, N. E., PARKS, C., OLSZEWSKI, K. Occupational safety and health objectives of Healthy People 2010: a systematic approach for occupational health nurses: part I. </w:t>
      </w:r>
      <w:r w:rsidRPr="005C3B36">
        <w:rPr>
          <w:rFonts w:ascii="Arial" w:hAnsi="Arial" w:cs="Arial"/>
          <w:b/>
          <w:bCs/>
          <w:spacing w:val="0"/>
          <w:position w:val="0"/>
          <w:lang w:val="en-US"/>
        </w:rPr>
        <w:t>AAOHN Journal</w:t>
      </w:r>
      <w:r w:rsidRPr="005C3B36">
        <w:rPr>
          <w:rFonts w:ascii="Arial" w:hAnsi="Arial" w:cs="Arial"/>
          <w:spacing w:val="0"/>
          <w:position w:val="0"/>
          <w:lang w:val="en-US"/>
        </w:rPr>
        <w:t>, v. 55, n. 2, p. 65-72, 2007.</w:t>
      </w:r>
    </w:p>
    <w:p w14:paraId="05CB0403" w14:textId="77777777" w:rsidR="005C3B36" w:rsidRPr="005C3B36" w:rsidRDefault="005C3B36" w:rsidP="00763C1C">
      <w:pPr>
        <w:contextualSpacing/>
        <w:rPr>
          <w:rFonts w:ascii="Arial" w:hAnsi="Arial" w:cs="Arial"/>
          <w:spacing w:val="0"/>
          <w:position w:val="0"/>
          <w:lang w:val="en-US"/>
        </w:rPr>
      </w:pPr>
    </w:p>
    <w:p w14:paraId="58659DC9" w14:textId="77777777" w:rsidR="005C3B36" w:rsidRPr="005C3B36" w:rsidRDefault="005C3B36" w:rsidP="00763C1C">
      <w:pPr>
        <w:contextualSpacing/>
        <w:rPr>
          <w:rFonts w:ascii="Arial" w:hAnsi="Arial" w:cs="Arial"/>
          <w:spacing w:val="0"/>
          <w:position w:val="0"/>
        </w:rPr>
      </w:pPr>
      <w:r w:rsidRPr="005C3B36">
        <w:rPr>
          <w:rFonts w:ascii="Arial" w:hAnsi="Arial" w:cs="Arial"/>
          <w:spacing w:val="0"/>
          <w:position w:val="0"/>
        </w:rPr>
        <w:t xml:space="preserve">DRUCK, G.; BORGES, A. Terceirização: balanço de uma década. </w:t>
      </w:r>
      <w:r w:rsidRPr="005C3B36">
        <w:rPr>
          <w:rFonts w:ascii="Arial" w:hAnsi="Arial" w:cs="Arial"/>
          <w:b/>
          <w:bCs/>
          <w:spacing w:val="0"/>
          <w:position w:val="0"/>
        </w:rPr>
        <w:t>Caderno CRH</w:t>
      </w:r>
      <w:r w:rsidRPr="005C3B36">
        <w:rPr>
          <w:rFonts w:ascii="Arial" w:hAnsi="Arial" w:cs="Arial"/>
          <w:spacing w:val="0"/>
          <w:position w:val="0"/>
        </w:rPr>
        <w:t>, v. 37, p. 111-139, 2002.</w:t>
      </w:r>
    </w:p>
    <w:p w14:paraId="4D6318C9" w14:textId="77777777" w:rsidR="005C3B36" w:rsidRPr="005C3B36" w:rsidRDefault="005C3B36" w:rsidP="00763C1C">
      <w:pPr>
        <w:contextualSpacing/>
        <w:rPr>
          <w:rFonts w:ascii="Arial" w:hAnsi="Arial" w:cs="Arial"/>
          <w:spacing w:val="0"/>
          <w:position w:val="0"/>
        </w:rPr>
      </w:pPr>
    </w:p>
    <w:p w14:paraId="6DBABF04" w14:textId="77777777" w:rsidR="005C3B36" w:rsidRPr="005C3B36" w:rsidRDefault="005C3B36" w:rsidP="00763C1C">
      <w:pPr>
        <w:suppressAutoHyphens/>
        <w:contextualSpacing/>
        <w:rPr>
          <w:rFonts w:ascii="Arial" w:hAnsi="Arial" w:cs="Arial"/>
          <w:spacing w:val="0"/>
          <w:position w:val="0"/>
        </w:rPr>
      </w:pPr>
      <w:r w:rsidRPr="005C3B36">
        <w:rPr>
          <w:rFonts w:ascii="Arial" w:hAnsi="Arial" w:cs="Arial"/>
          <w:spacing w:val="0"/>
          <w:position w:val="0"/>
        </w:rPr>
        <w:t xml:space="preserve">EQUIPE DE DESENVOLVIMENTO DO QGIS. </w:t>
      </w:r>
      <w:r w:rsidRPr="005C3B36">
        <w:rPr>
          <w:rFonts w:ascii="Arial" w:hAnsi="Arial" w:cs="Arial"/>
          <w:b/>
          <w:spacing w:val="0"/>
          <w:position w:val="0"/>
        </w:rPr>
        <w:t>Sistema de informações geográficas do QGIS</w:t>
      </w:r>
      <w:r w:rsidRPr="005C3B36">
        <w:rPr>
          <w:rFonts w:ascii="Arial" w:hAnsi="Arial" w:cs="Arial"/>
          <w:spacing w:val="0"/>
          <w:position w:val="0"/>
        </w:rPr>
        <w:t xml:space="preserve">: projeto código aberto </w:t>
      </w:r>
      <w:proofErr w:type="spellStart"/>
      <w:r w:rsidRPr="005C3B36">
        <w:rPr>
          <w:rFonts w:ascii="Arial" w:hAnsi="Arial" w:cs="Arial"/>
          <w:spacing w:val="0"/>
          <w:position w:val="0"/>
        </w:rPr>
        <w:t>geospatial</w:t>
      </w:r>
      <w:proofErr w:type="spellEnd"/>
      <w:r w:rsidRPr="005C3B36">
        <w:rPr>
          <w:rFonts w:ascii="Arial" w:hAnsi="Arial" w:cs="Arial"/>
          <w:spacing w:val="0"/>
          <w:position w:val="0"/>
        </w:rPr>
        <w:t xml:space="preserve"> </w:t>
      </w:r>
      <w:proofErr w:type="spellStart"/>
      <w:r w:rsidRPr="005C3B36">
        <w:rPr>
          <w:rFonts w:ascii="Arial" w:hAnsi="Arial" w:cs="Arial"/>
          <w:spacing w:val="0"/>
          <w:position w:val="0"/>
        </w:rPr>
        <w:t>foundation</w:t>
      </w:r>
      <w:proofErr w:type="spellEnd"/>
      <w:r w:rsidRPr="005C3B36">
        <w:rPr>
          <w:rFonts w:ascii="Arial" w:hAnsi="Arial" w:cs="Arial"/>
          <w:spacing w:val="0"/>
          <w:position w:val="0"/>
        </w:rPr>
        <w:t xml:space="preserve">. [8.1.:8.n.], 2018. </w:t>
      </w:r>
    </w:p>
    <w:p w14:paraId="303F0127" w14:textId="77777777" w:rsidR="005C3B36" w:rsidRPr="005C3B36" w:rsidRDefault="005C3B36" w:rsidP="00763C1C">
      <w:pPr>
        <w:contextualSpacing/>
        <w:rPr>
          <w:rFonts w:ascii="Arial" w:hAnsi="Arial" w:cs="Arial"/>
          <w:spacing w:val="0"/>
          <w:position w:val="0"/>
        </w:rPr>
      </w:pPr>
    </w:p>
    <w:p w14:paraId="7C1C0304" w14:textId="77777777" w:rsidR="005C3B36" w:rsidRPr="005C3B36" w:rsidRDefault="005C3B36" w:rsidP="00763C1C">
      <w:pPr>
        <w:suppressAutoHyphens/>
        <w:contextualSpacing/>
        <w:rPr>
          <w:rFonts w:ascii="Arial" w:hAnsi="Arial" w:cs="Arial"/>
          <w:spacing w:val="0"/>
          <w:position w:val="0"/>
          <w:shd w:val="clear" w:color="auto" w:fill="FFFFFF"/>
          <w:lang w:val="en-US"/>
        </w:rPr>
      </w:pPr>
      <w:r w:rsidRPr="005C3B36">
        <w:rPr>
          <w:rFonts w:ascii="Arial" w:hAnsi="Arial" w:cs="Arial"/>
          <w:spacing w:val="0"/>
          <w:position w:val="0"/>
          <w:shd w:val="clear" w:color="auto" w:fill="FFFFFF"/>
        </w:rPr>
        <w:lastRenderedPageBreak/>
        <w:t>EQUIPE ESTATCAMP. </w:t>
      </w:r>
      <w:r w:rsidRPr="005C3B36">
        <w:rPr>
          <w:rFonts w:ascii="Arial" w:hAnsi="Arial" w:cs="Arial"/>
          <w:b/>
          <w:bCs/>
          <w:spacing w:val="0"/>
          <w:position w:val="0"/>
          <w:shd w:val="clear" w:color="auto" w:fill="FFFFFF"/>
        </w:rPr>
        <w:t xml:space="preserve">Software </w:t>
      </w:r>
      <w:proofErr w:type="spellStart"/>
      <w:r w:rsidRPr="005C3B36">
        <w:rPr>
          <w:rFonts w:ascii="Arial" w:hAnsi="Arial" w:cs="Arial"/>
          <w:b/>
          <w:bCs/>
          <w:spacing w:val="0"/>
          <w:position w:val="0"/>
          <w:shd w:val="clear" w:color="auto" w:fill="FFFFFF"/>
        </w:rPr>
        <w:t>Action</w:t>
      </w:r>
      <w:proofErr w:type="spellEnd"/>
      <w:r w:rsidRPr="005C3B36">
        <w:rPr>
          <w:rFonts w:ascii="Arial" w:hAnsi="Arial" w:cs="Arial"/>
          <w:spacing w:val="0"/>
          <w:position w:val="0"/>
          <w:shd w:val="clear" w:color="auto" w:fill="FFFFFF"/>
        </w:rPr>
        <w:t>.</w:t>
      </w:r>
      <w:r w:rsidRPr="005C3B36">
        <w:rPr>
          <w:rFonts w:ascii="Arial" w:hAnsi="Arial" w:cs="Arial"/>
          <w:b/>
          <w:bCs/>
          <w:spacing w:val="0"/>
          <w:position w:val="0"/>
          <w:shd w:val="clear" w:color="auto" w:fill="FFFFFF"/>
        </w:rPr>
        <w:t xml:space="preserve"> </w:t>
      </w:r>
      <w:proofErr w:type="spellStart"/>
      <w:r w:rsidRPr="005C3B36">
        <w:rPr>
          <w:rFonts w:ascii="Arial" w:hAnsi="Arial" w:cs="Arial"/>
          <w:bCs/>
          <w:spacing w:val="0"/>
          <w:position w:val="0"/>
          <w:shd w:val="clear" w:color="auto" w:fill="FFFFFF"/>
        </w:rPr>
        <w:t>Estatcamp</w:t>
      </w:r>
      <w:proofErr w:type="spellEnd"/>
      <w:r w:rsidRPr="005C3B36">
        <w:rPr>
          <w:rFonts w:ascii="Arial" w:hAnsi="Arial" w:cs="Arial"/>
          <w:bCs/>
          <w:spacing w:val="0"/>
          <w:position w:val="0"/>
          <w:shd w:val="clear" w:color="auto" w:fill="FFFFFF"/>
        </w:rPr>
        <w:t xml:space="preserve"> Consultoria em estatística e qualidade</w:t>
      </w:r>
      <w:r w:rsidRPr="005C3B36">
        <w:rPr>
          <w:rFonts w:ascii="Arial" w:hAnsi="Arial" w:cs="Arial"/>
          <w:spacing w:val="0"/>
          <w:position w:val="0"/>
          <w:shd w:val="clear" w:color="auto" w:fill="FFFFFF"/>
        </w:rPr>
        <w:t xml:space="preserve">. </w:t>
      </w:r>
      <w:r w:rsidRPr="005C3B36">
        <w:rPr>
          <w:rFonts w:ascii="Arial" w:hAnsi="Arial" w:cs="Arial"/>
          <w:spacing w:val="0"/>
          <w:position w:val="0"/>
          <w:shd w:val="clear" w:color="auto" w:fill="FFFFFF"/>
          <w:lang w:val="en-US"/>
        </w:rPr>
        <w:t xml:space="preserve">São Carlos - SP, </w:t>
      </w:r>
      <w:proofErr w:type="spellStart"/>
      <w:r w:rsidRPr="005C3B36">
        <w:rPr>
          <w:rFonts w:ascii="Arial" w:hAnsi="Arial" w:cs="Arial"/>
          <w:spacing w:val="0"/>
          <w:position w:val="0"/>
          <w:shd w:val="clear" w:color="auto" w:fill="FFFFFF"/>
          <w:lang w:val="en-US"/>
        </w:rPr>
        <w:t>Brasil</w:t>
      </w:r>
      <w:proofErr w:type="spellEnd"/>
      <w:r w:rsidRPr="005C3B36">
        <w:rPr>
          <w:rFonts w:ascii="Arial" w:hAnsi="Arial" w:cs="Arial"/>
          <w:spacing w:val="0"/>
          <w:position w:val="0"/>
          <w:shd w:val="clear" w:color="auto" w:fill="FFFFFF"/>
          <w:lang w:val="en-US"/>
        </w:rPr>
        <w:t>, 2015.</w:t>
      </w:r>
    </w:p>
    <w:p w14:paraId="59ACA617" w14:textId="77777777" w:rsidR="005C3B36" w:rsidRPr="005C3B36" w:rsidRDefault="005C3B36" w:rsidP="00763C1C">
      <w:pPr>
        <w:suppressAutoHyphens/>
        <w:contextualSpacing/>
        <w:rPr>
          <w:rFonts w:ascii="Arial" w:hAnsi="Arial" w:cs="Arial"/>
          <w:spacing w:val="0"/>
          <w:position w:val="0"/>
          <w:shd w:val="clear" w:color="auto" w:fill="FFFFFF"/>
          <w:lang w:val="en-US"/>
        </w:rPr>
      </w:pPr>
    </w:p>
    <w:p w14:paraId="4F6CA116" w14:textId="77777777" w:rsidR="005C3B36" w:rsidRPr="005C3B36" w:rsidRDefault="005C3B36" w:rsidP="00763C1C">
      <w:pPr>
        <w:suppressAutoHyphens/>
        <w:contextualSpacing/>
        <w:rPr>
          <w:rFonts w:ascii="Arial" w:hAnsi="Arial" w:cs="Arial"/>
          <w:spacing w:val="0"/>
          <w:position w:val="0"/>
          <w:shd w:val="clear" w:color="auto" w:fill="FFFFFF"/>
        </w:rPr>
      </w:pPr>
      <w:r w:rsidRPr="005C3B36">
        <w:rPr>
          <w:rFonts w:ascii="Arial" w:hAnsi="Arial" w:cs="Arial"/>
          <w:spacing w:val="0"/>
          <w:position w:val="0"/>
          <w:shd w:val="clear" w:color="auto" w:fill="FFFFFF"/>
          <w:lang w:val="en-US"/>
        </w:rPr>
        <w:t xml:space="preserve">GRAYSON, D., DALE, A. M., BOHR, P., WOLF, L., EVANOFF, B. Ergonomic evaluation: part of a treatment protocol for musculoskeletal injuries. </w:t>
      </w:r>
      <w:r w:rsidRPr="005C3B36">
        <w:rPr>
          <w:rFonts w:ascii="Arial" w:hAnsi="Arial" w:cs="Arial"/>
          <w:b/>
          <w:bCs/>
          <w:spacing w:val="0"/>
          <w:position w:val="0"/>
          <w:shd w:val="clear" w:color="auto" w:fill="FFFFFF"/>
        </w:rPr>
        <w:t xml:space="preserve">AAOHN </w:t>
      </w:r>
      <w:proofErr w:type="spellStart"/>
      <w:r w:rsidRPr="005C3B36">
        <w:rPr>
          <w:rFonts w:ascii="Arial" w:hAnsi="Arial" w:cs="Arial"/>
          <w:b/>
          <w:bCs/>
          <w:spacing w:val="0"/>
          <w:position w:val="0"/>
          <w:shd w:val="clear" w:color="auto" w:fill="FFFFFF"/>
        </w:rPr>
        <w:t>Journal</w:t>
      </w:r>
      <w:proofErr w:type="spellEnd"/>
      <w:r w:rsidRPr="005C3B36">
        <w:rPr>
          <w:rFonts w:ascii="Arial" w:hAnsi="Arial" w:cs="Arial"/>
          <w:spacing w:val="0"/>
          <w:position w:val="0"/>
          <w:shd w:val="clear" w:color="auto" w:fill="FFFFFF"/>
        </w:rPr>
        <w:t>, v. 53, n. 10, p. 450-457, 2005.</w:t>
      </w:r>
    </w:p>
    <w:p w14:paraId="156CB5F1" w14:textId="77777777" w:rsidR="005C3B36" w:rsidRPr="005C3B36" w:rsidRDefault="005C3B36" w:rsidP="00763C1C">
      <w:pPr>
        <w:suppressAutoHyphens/>
        <w:contextualSpacing/>
        <w:rPr>
          <w:rFonts w:ascii="Arial" w:hAnsi="Arial" w:cs="Arial"/>
          <w:spacing w:val="0"/>
          <w:position w:val="0"/>
          <w:shd w:val="clear" w:color="auto" w:fill="FFFFFF"/>
        </w:rPr>
      </w:pPr>
    </w:p>
    <w:p w14:paraId="068C9614" w14:textId="77777777" w:rsidR="005C3B36" w:rsidRPr="005C3B36" w:rsidRDefault="005C3B36" w:rsidP="00763C1C">
      <w:pPr>
        <w:contextualSpacing/>
        <w:rPr>
          <w:rFonts w:ascii="Arial" w:hAnsi="Arial" w:cs="Arial"/>
          <w:iCs/>
          <w:spacing w:val="0"/>
          <w:position w:val="0"/>
          <w:shd w:val="clear" w:color="auto" w:fill="FFFFFF"/>
        </w:rPr>
      </w:pPr>
      <w:r w:rsidRPr="005C3B36">
        <w:rPr>
          <w:rFonts w:ascii="Arial" w:hAnsi="Arial" w:cs="Arial"/>
          <w:iCs/>
          <w:spacing w:val="0"/>
          <w:position w:val="0"/>
          <w:shd w:val="clear" w:color="auto" w:fill="FFFFFF"/>
        </w:rPr>
        <w:t xml:space="preserve">IBGE. Instituto Brasileiro de Geografia e Estatística. Diretoria de Geociências, Coordenação de Geografia. </w:t>
      </w:r>
      <w:r w:rsidRPr="005C3B36">
        <w:rPr>
          <w:rFonts w:ascii="Arial" w:hAnsi="Arial" w:cs="Arial"/>
          <w:b/>
          <w:iCs/>
          <w:spacing w:val="0"/>
          <w:position w:val="0"/>
          <w:shd w:val="clear" w:color="auto" w:fill="FFFFFF"/>
        </w:rPr>
        <w:t xml:space="preserve">Sinopse do Censo Demográfico 2010. </w:t>
      </w:r>
      <w:r w:rsidRPr="005C3B36">
        <w:rPr>
          <w:rFonts w:ascii="Arial" w:hAnsi="Arial" w:cs="Arial"/>
          <w:iCs/>
          <w:spacing w:val="0"/>
          <w:position w:val="0"/>
          <w:shd w:val="clear" w:color="auto" w:fill="FFFFFF"/>
        </w:rPr>
        <w:t>Rio de Janeiro: IBGE, 2011. Disponível em:</w:t>
      </w:r>
      <w:r w:rsidRPr="005C3B36">
        <w:rPr>
          <w:rFonts w:ascii="Arial" w:hAnsi="Arial" w:cs="Arial"/>
          <w:spacing w:val="0"/>
          <w:position w:val="0"/>
        </w:rPr>
        <w:t xml:space="preserve"> </w:t>
      </w:r>
      <w:hyperlink r:id="rId19" w:history="1">
        <w:r w:rsidRPr="005C3B36">
          <w:rPr>
            <w:rStyle w:val="Hyperlink"/>
            <w:rFonts w:ascii="Arial" w:hAnsi="Arial" w:cs="Arial"/>
            <w:color w:val="auto"/>
            <w:spacing w:val="0"/>
            <w:position w:val="0"/>
          </w:rPr>
          <w:t>https://censo2010.ibge.gov.br/sinopse/</w:t>
        </w:r>
      </w:hyperlink>
      <w:r w:rsidRPr="005C3B36">
        <w:rPr>
          <w:rFonts w:ascii="Arial" w:hAnsi="Arial" w:cs="Arial"/>
          <w:spacing w:val="0"/>
          <w:position w:val="0"/>
        </w:rPr>
        <w:t>. Acesso em: 10 abr. 2020.</w:t>
      </w:r>
    </w:p>
    <w:p w14:paraId="5A66213B" w14:textId="77777777" w:rsidR="005C3B36" w:rsidRPr="005C3B36" w:rsidRDefault="005C3B36" w:rsidP="00763C1C">
      <w:pPr>
        <w:contextualSpacing/>
        <w:rPr>
          <w:rFonts w:ascii="Arial" w:hAnsi="Arial" w:cs="Arial"/>
          <w:iCs/>
          <w:spacing w:val="0"/>
          <w:position w:val="0"/>
          <w:shd w:val="clear" w:color="auto" w:fill="FFFFFF"/>
        </w:rPr>
      </w:pPr>
    </w:p>
    <w:p w14:paraId="1B15B578" w14:textId="77777777" w:rsidR="005C3B36" w:rsidRPr="005C3B36" w:rsidRDefault="005C3B36" w:rsidP="00763C1C">
      <w:pPr>
        <w:contextualSpacing/>
        <w:rPr>
          <w:rFonts w:ascii="Arial" w:hAnsi="Arial" w:cs="Arial"/>
          <w:iCs/>
          <w:spacing w:val="0"/>
          <w:position w:val="0"/>
          <w:shd w:val="clear" w:color="auto" w:fill="FFFFFF"/>
          <w:lang w:val="en-US"/>
        </w:rPr>
      </w:pPr>
      <w:r w:rsidRPr="005C3B36">
        <w:rPr>
          <w:rFonts w:ascii="Arial" w:hAnsi="Arial" w:cs="Arial"/>
          <w:iCs/>
          <w:spacing w:val="0"/>
          <w:position w:val="0"/>
          <w:shd w:val="clear" w:color="auto" w:fill="FFFFFF"/>
        </w:rPr>
        <w:t xml:space="preserve">IBGE. Instituto Brasileiro de Geografia e Estatística. Diretoria de Geociências, Coordenação de Geografia Pesquisa de Informações Básicas Municipais. </w:t>
      </w:r>
      <w:r w:rsidRPr="005C3B36">
        <w:rPr>
          <w:rFonts w:ascii="Arial" w:hAnsi="Arial" w:cs="Arial"/>
          <w:b/>
          <w:iCs/>
          <w:spacing w:val="0"/>
          <w:position w:val="0"/>
          <w:shd w:val="clear" w:color="auto" w:fill="FFFFFF"/>
        </w:rPr>
        <w:t>Perfil dos Municípios Brasileiros 2018.</w:t>
      </w:r>
      <w:r w:rsidRPr="005C3B36">
        <w:rPr>
          <w:rFonts w:ascii="Arial" w:hAnsi="Arial" w:cs="Arial"/>
          <w:iCs/>
          <w:spacing w:val="0"/>
          <w:position w:val="0"/>
          <w:shd w:val="clear" w:color="auto" w:fill="FFFFFF"/>
        </w:rPr>
        <w:t xml:space="preserve"> Rio de Janeiro: IBGE, 2019. Disponível em:</w:t>
      </w:r>
      <w:r w:rsidRPr="005C3B36">
        <w:rPr>
          <w:rFonts w:ascii="Arial" w:hAnsi="Arial" w:cs="Arial"/>
          <w:spacing w:val="0"/>
          <w:position w:val="0"/>
        </w:rPr>
        <w:t xml:space="preserve"> </w:t>
      </w:r>
      <w:hyperlink r:id="rId20" w:history="1">
        <w:r w:rsidRPr="005C3B36">
          <w:rPr>
            <w:rStyle w:val="Hyperlink"/>
            <w:rFonts w:ascii="Arial" w:hAnsi="Arial" w:cs="Arial"/>
            <w:color w:val="auto"/>
            <w:spacing w:val="0"/>
            <w:position w:val="0"/>
          </w:rPr>
          <w:t>https://cidades.ibge.gov.br/brasil/df/brasilia/pesquisa/1/74454?ano=2018</w:t>
        </w:r>
      </w:hyperlink>
      <w:r w:rsidRPr="005C3B36">
        <w:rPr>
          <w:rFonts w:ascii="Arial" w:hAnsi="Arial" w:cs="Arial"/>
          <w:spacing w:val="0"/>
          <w:position w:val="0"/>
        </w:rPr>
        <w:t xml:space="preserve">. </w:t>
      </w:r>
      <w:proofErr w:type="spellStart"/>
      <w:r w:rsidRPr="005C3B36">
        <w:rPr>
          <w:rFonts w:ascii="Arial" w:hAnsi="Arial" w:cs="Arial"/>
          <w:spacing w:val="0"/>
          <w:position w:val="0"/>
          <w:lang w:val="en-US"/>
        </w:rPr>
        <w:t>Acesso</w:t>
      </w:r>
      <w:proofErr w:type="spellEnd"/>
      <w:r w:rsidRPr="005C3B36">
        <w:rPr>
          <w:rFonts w:ascii="Arial" w:hAnsi="Arial" w:cs="Arial"/>
          <w:spacing w:val="0"/>
          <w:position w:val="0"/>
          <w:lang w:val="en-US"/>
        </w:rPr>
        <w:t xml:space="preserve"> </w:t>
      </w:r>
      <w:proofErr w:type="spellStart"/>
      <w:r w:rsidRPr="005C3B36">
        <w:rPr>
          <w:rFonts w:ascii="Arial" w:hAnsi="Arial" w:cs="Arial"/>
          <w:spacing w:val="0"/>
          <w:position w:val="0"/>
          <w:lang w:val="en-US"/>
        </w:rPr>
        <w:t>em</w:t>
      </w:r>
      <w:proofErr w:type="spellEnd"/>
      <w:r w:rsidRPr="005C3B36">
        <w:rPr>
          <w:rFonts w:ascii="Arial" w:hAnsi="Arial" w:cs="Arial"/>
          <w:spacing w:val="0"/>
          <w:position w:val="0"/>
          <w:lang w:val="en-US"/>
        </w:rPr>
        <w:t>: 06 abr. 2020.</w:t>
      </w:r>
    </w:p>
    <w:p w14:paraId="2ADF78B0" w14:textId="77777777" w:rsidR="005C3B36" w:rsidRPr="005C3B36" w:rsidRDefault="005C3B36" w:rsidP="00763C1C">
      <w:pPr>
        <w:contextualSpacing/>
        <w:rPr>
          <w:rFonts w:ascii="Arial" w:hAnsi="Arial" w:cs="Arial"/>
          <w:iCs/>
          <w:spacing w:val="0"/>
          <w:position w:val="0"/>
          <w:shd w:val="clear" w:color="auto" w:fill="FFFFFF"/>
          <w:lang w:val="en-US"/>
        </w:rPr>
      </w:pPr>
    </w:p>
    <w:p w14:paraId="5A25C556" w14:textId="77777777" w:rsidR="005C3B36" w:rsidRPr="005C3B36" w:rsidRDefault="005C3B36" w:rsidP="00763C1C">
      <w:pPr>
        <w:contextualSpacing/>
        <w:rPr>
          <w:rFonts w:ascii="Arial" w:hAnsi="Arial" w:cs="Arial"/>
          <w:spacing w:val="0"/>
          <w:position w:val="0"/>
        </w:rPr>
      </w:pPr>
      <w:r w:rsidRPr="005C3B36">
        <w:rPr>
          <w:rFonts w:ascii="Arial" w:hAnsi="Arial" w:cs="Arial"/>
          <w:spacing w:val="0"/>
          <w:position w:val="0"/>
          <w:lang w:val="en-US"/>
        </w:rPr>
        <w:t xml:space="preserve">ILO. International </w:t>
      </w:r>
      <w:proofErr w:type="spellStart"/>
      <w:r w:rsidRPr="005C3B36">
        <w:rPr>
          <w:rFonts w:ascii="Arial" w:hAnsi="Arial" w:cs="Arial"/>
          <w:spacing w:val="0"/>
          <w:position w:val="0"/>
          <w:lang w:val="en-US"/>
        </w:rPr>
        <w:t>Labour</w:t>
      </w:r>
      <w:proofErr w:type="spellEnd"/>
      <w:r w:rsidRPr="005C3B36">
        <w:rPr>
          <w:rFonts w:ascii="Arial" w:hAnsi="Arial" w:cs="Arial"/>
          <w:spacing w:val="0"/>
          <w:position w:val="0"/>
          <w:lang w:val="en-US"/>
        </w:rPr>
        <w:t xml:space="preserve"> Office. Decent Work and the Informal Economy. Report of the Director General. International </w:t>
      </w:r>
      <w:proofErr w:type="spellStart"/>
      <w:r w:rsidRPr="005C3B36">
        <w:rPr>
          <w:rFonts w:ascii="Arial" w:hAnsi="Arial" w:cs="Arial"/>
          <w:spacing w:val="0"/>
          <w:position w:val="0"/>
          <w:lang w:val="en-US"/>
        </w:rPr>
        <w:t>Labour</w:t>
      </w:r>
      <w:proofErr w:type="spellEnd"/>
      <w:r w:rsidRPr="005C3B36">
        <w:rPr>
          <w:rFonts w:ascii="Arial" w:hAnsi="Arial" w:cs="Arial"/>
          <w:spacing w:val="0"/>
          <w:position w:val="0"/>
          <w:lang w:val="en-US"/>
        </w:rPr>
        <w:t xml:space="preserve"> Conference, 90th Session; Report VI; </w:t>
      </w:r>
      <w:r w:rsidRPr="005C3B36">
        <w:rPr>
          <w:rFonts w:ascii="Arial" w:hAnsi="Arial" w:cs="Arial"/>
          <w:b/>
          <w:bCs/>
          <w:spacing w:val="0"/>
          <w:position w:val="0"/>
          <w:lang w:val="en-US"/>
        </w:rPr>
        <w:t xml:space="preserve">International </w:t>
      </w:r>
      <w:proofErr w:type="spellStart"/>
      <w:r w:rsidRPr="005C3B36">
        <w:rPr>
          <w:rFonts w:ascii="Arial" w:hAnsi="Arial" w:cs="Arial"/>
          <w:b/>
          <w:bCs/>
          <w:spacing w:val="0"/>
          <w:position w:val="0"/>
          <w:lang w:val="en-US"/>
        </w:rPr>
        <w:t>Labour</w:t>
      </w:r>
      <w:proofErr w:type="spellEnd"/>
      <w:r w:rsidRPr="005C3B36">
        <w:rPr>
          <w:rFonts w:ascii="Arial" w:hAnsi="Arial" w:cs="Arial"/>
          <w:b/>
          <w:bCs/>
          <w:spacing w:val="0"/>
          <w:position w:val="0"/>
          <w:lang w:val="en-US"/>
        </w:rPr>
        <w:t xml:space="preserve"> Office</w:t>
      </w:r>
      <w:r w:rsidRPr="005C3B36">
        <w:rPr>
          <w:rFonts w:ascii="Arial" w:hAnsi="Arial" w:cs="Arial"/>
          <w:spacing w:val="0"/>
          <w:position w:val="0"/>
          <w:lang w:val="en-US"/>
        </w:rPr>
        <w:t xml:space="preserve">, Geneva, 2002. </w:t>
      </w:r>
      <w:r w:rsidRPr="005C3B36">
        <w:rPr>
          <w:rFonts w:ascii="Arial" w:hAnsi="Arial" w:cs="Arial"/>
          <w:spacing w:val="0"/>
          <w:position w:val="0"/>
        </w:rPr>
        <w:t xml:space="preserve">Disponível em: </w:t>
      </w:r>
      <w:hyperlink r:id="rId21" w:history="1">
        <w:r w:rsidRPr="005C3B36">
          <w:rPr>
            <w:rStyle w:val="Hyperlink"/>
            <w:rFonts w:ascii="Arial" w:hAnsi="Arial" w:cs="Arial"/>
            <w:color w:val="auto"/>
            <w:spacing w:val="0"/>
            <w:position w:val="0"/>
          </w:rPr>
          <w:t>https://www.ilo.org/public/english/standards/relm/ilc/ilc90/pdf/rep-vi.pdf</w:t>
        </w:r>
      </w:hyperlink>
      <w:r w:rsidRPr="005C3B36">
        <w:rPr>
          <w:rFonts w:ascii="Arial" w:hAnsi="Arial" w:cs="Arial"/>
          <w:spacing w:val="0"/>
          <w:position w:val="0"/>
        </w:rPr>
        <w:t>. Acesso em: 14 abr. 2020.</w:t>
      </w:r>
    </w:p>
    <w:p w14:paraId="7610666E" w14:textId="77777777" w:rsidR="005C3B36" w:rsidRPr="005C3B36" w:rsidRDefault="005C3B36" w:rsidP="00763C1C">
      <w:pPr>
        <w:contextualSpacing/>
        <w:rPr>
          <w:rFonts w:ascii="Arial" w:hAnsi="Arial" w:cs="Arial"/>
          <w:spacing w:val="0"/>
          <w:position w:val="0"/>
        </w:rPr>
      </w:pPr>
    </w:p>
    <w:p w14:paraId="6E368344" w14:textId="77777777" w:rsidR="005C3B36" w:rsidRPr="005C3B36" w:rsidRDefault="005C3B36" w:rsidP="00763C1C">
      <w:pPr>
        <w:contextualSpacing/>
        <w:rPr>
          <w:rFonts w:ascii="Arial" w:hAnsi="Arial" w:cs="Arial"/>
          <w:spacing w:val="0"/>
          <w:position w:val="0"/>
          <w:shd w:val="clear" w:color="auto" w:fill="FFFFFF"/>
          <w:lang w:val="en-US"/>
        </w:rPr>
      </w:pPr>
      <w:r w:rsidRPr="005C3B36">
        <w:rPr>
          <w:rFonts w:ascii="Arial" w:hAnsi="Arial" w:cs="Arial"/>
          <w:spacing w:val="0"/>
          <w:position w:val="0"/>
          <w:shd w:val="clear" w:color="auto" w:fill="FFFFFF"/>
        </w:rPr>
        <w:t xml:space="preserve">MUROFUSE, N. T., MARZIALE, M. H. P. Doenças do sistema osteomuscular em trabalhadores de enfermagem. </w:t>
      </w:r>
      <w:proofErr w:type="spellStart"/>
      <w:r w:rsidRPr="005C3B36">
        <w:rPr>
          <w:rFonts w:ascii="Arial" w:hAnsi="Arial" w:cs="Arial"/>
          <w:b/>
          <w:bCs/>
          <w:spacing w:val="0"/>
          <w:position w:val="0"/>
          <w:shd w:val="clear" w:color="auto" w:fill="FFFFFF"/>
          <w:lang w:val="en-US"/>
        </w:rPr>
        <w:t>Revista</w:t>
      </w:r>
      <w:proofErr w:type="spellEnd"/>
      <w:r w:rsidRPr="005C3B36">
        <w:rPr>
          <w:rFonts w:ascii="Arial" w:hAnsi="Arial" w:cs="Arial"/>
          <w:b/>
          <w:bCs/>
          <w:spacing w:val="0"/>
          <w:position w:val="0"/>
          <w:shd w:val="clear" w:color="auto" w:fill="FFFFFF"/>
          <w:lang w:val="en-US"/>
        </w:rPr>
        <w:t xml:space="preserve"> Latino-Americana de </w:t>
      </w:r>
      <w:proofErr w:type="spellStart"/>
      <w:r w:rsidRPr="005C3B36">
        <w:rPr>
          <w:rFonts w:ascii="Arial" w:hAnsi="Arial" w:cs="Arial"/>
          <w:b/>
          <w:bCs/>
          <w:spacing w:val="0"/>
          <w:position w:val="0"/>
          <w:shd w:val="clear" w:color="auto" w:fill="FFFFFF"/>
          <w:lang w:val="en-US"/>
        </w:rPr>
        <w:t>Enfermagem</w:t>
      </w:r>
      <w:proofErr w:type="spellEnd"/>
      <w:r w:rsidRPr="005C3B36">
        <w:rPr>
          <w:rFonts w:ascii="Arial" w:hAnsi="Arial" w:cs="Arial"/>
          <w:spacing w:val="0"/>
          <w:position w:val="0"/>
          <w:shd w:val="clear" w:color="auto" w:fill="FFFFFF"/>
          <w:lang w:val="en-US"/>
        </w:rPr>
        <w:t>,</w:t>
      </w:r>
      <w:r w:rsidRPr="005C3B36">
        <w:rPr>
          <w:rFonts w:ascii="Arial" w:hAnsi="Arial" w:cs="Arial"/>
          <w:b/>
          <w:bCs/>
          <w:spacing w:val="0"/>
          <w:position w:val="0"/>
          <w:shd w:val="clear" w:color="auto" w:fill="FFFFFF"/>
          <w:lang w:val="en-US"/>
        </w:rPr>
        <w:t xml:space="preserve"> </w:t>
      </w:r>
      <w:r w:rsidRPr="005C3B36">
        <w:rPr>
          <w:rFonts w:ascii="Arial" w:hAnsi="Arial" w:cs="Arial"/>
          <w:spacing w:val="0"/>
          <w:position w:val="0"/>
          <w:shd w:val="clear" w:color="auto" w:fill="FFFFFF"/>
          <w:lang w:val="en-US"/>
        </w:rPr>
        <w:t>v. 13, n. 3, p. 364-373, 2005.</w:t>
      </w:r>
    </w:p>
    <w:p w14:paraId="3C56CAE7" w14:textId="77777777" w:rsidR="005C3B36" w:rsidRPr="005C3B36" w:rsidRDefault="005C3B36" w:rsidP="00763C1C">
      <w:pPr>
        <w:contextualSpacing/>
        <w:rPr>
          <w:rFonts w:ascii="Arial" w:hAnsi="Arial" w:cs="Arial"/>
          <w:spacing w:val="0"/>
          <w:position w:val="0"/>
          <w:lang w:val="en-US"/>
        </w:rPr>
      </w:pPr>
    </w:p>
    <w:p w14:paraId="68B2DBDA" w14:textId="77777777" w:rsidR="005C3B36" w:rsidRPr="005C3B36" w:rsidRDefault="005C3B36" w:rsidP="00763C1C">
      <w:pPr>
        <w:contextualSpacing/>
        <w:rPr>
          <w:rFonts w:ascii="Arial" w:hAnsi="Arial" w:cs="Arial"/>
          <w:spacing w:val="0"/>
          <w:position w:val="0"/>
          <w:lang w:val="en-US"/>
        </w:rPr>
      </w:pPr>
      <w:r w:rsidRPr="005C3B36">
        <w:rPr>
          <w:rFonts w:ascii="Arial" w:hAnsi="Arial" w:cs="Arial"/>
          <w:spacing w:val="0"/>
          <w:position w:val="0"/>
          <w:lang w:val="en-US"/>
        </w:rPr>
        <w:t xml:space="preserve">SHAWN, W. S., FEUERSTEIN, M., LINCOLN, A. E., MILLER, V. I., WOOD, P. M. Case management services for work related upper extremity disorders: integrating workplace accommodation and problem solving. </w:t>
      </w:r>
      <w:r w:rsidRPr="005C3B36">
        <w:rPr>
          <w:rFonts w:ascii="Arial" w:hAnsi="Arial" w:cs="Arial"/>
          <w:b/>
          <w:bCs/>
          <w:spacing w:val="0"/>
          <w:position w:val="0"/>
          <w:lang w:val="en-US"/>
        </w:rPr>
        <w:t>AAOHN Journal</w:t>
      </w:r>
      <w:r w:rsidRPr="005C3B36">
        <w:rPr>
          <w:rFonts w:ascii="Arial" w:hAnsi="Arial" w:cs="Arial"/>
          <w:spacing w:val="0"/>
          <w:position w:val="0"/>
          <w:lang w:val="en-US"/>
        </w:rPr>
        <w:t>, v. 49, n. 8, p. 378-389, 2001.</w:t>
      </w:r>
    </w:p>
    <w:p w14:paraId="30A93587" w14:textId="77777777" w:rsidR="005C3B36" w:rsidRPr="005C3B36" w:rsidRDefault="005C3B36" w:rsidP="00763C1C">
      <w:pPr>
        <w:contextualSpacing/>
        <w:rPr>
          <w:rFonts w:ascii="Arial" w:hAnsi="Arial" w:cs="Arial"/>
          <w:spacing w:val="0"/>
          <w:position w:val="0"/>
          <w:lang w:val="en-US"/>
        </w:rPr>
      </w:pPr>
    </w:p>
    <w:p w14:paraId="66775521" w14:textId="77777777" w:rsidR="005C3B36" w:rsidRPr="005C3B36" w:rsidRDefault="005C3B36" w:rsidP="00763C1C">
      <w:pPr>
        <w:contextualSpacing/>
        <w:rPr>
          <w:rFonts w:ascii="Arial" w:hAnsi="Arial" w:cs="Arial"/>
          <w:spacing w:val="0"/>
          <w:position w:val="0"/>
          <w:shd w:val="clear" w:color="auto" w:fill="FFFFFF"/>
        </w:rPr>
      </w:pPr>
      <w:r w:rsidRPr="005C3B36">
        <w:rPr>
          <w:rFonts w:ascii="Arial" w:hAnsi="Arial" w:cs="Arial"/>
          <w:spacing w:val="0"/>
          <w:position w:val="0"/>
          <w:shd w:val="clear" w:color="auto" w:fill="FFFFFF"/>
          <w:lang w:val="en-US"/>
        </w:rPr>
        <w:t>US Dept. of Health and Human Services, Centers for Disease Control and Prevention, National Institute of Occupational Safety and Health.  </w:t>
      </w:r>
      <w:r w:rsidRPr="005C3B36">
        <w:rPr>
          <w:rFonts w:ascii="Arial" w:hAnsi="Arial" w:cs="Arial"/>
          <w:b/>
          <w:bCs/>
          <w:spacing w:val="0"/>
          <w:position w:val="0"/>
          <w:shd w:val="clear" w:color="auto" w:fill="FFFFFF"/>
          <w:lang w:val="en-US"/>
        </w:rPr>
        <w:t>Musculoskeletal disorders and workplace factors: a critical review of epidemiologic evidence for work-related musculoskeletal disorders of the neck, upper extremity, and low back</w:t>
      </w:r>
      <w:r w:rsidRPr="005C3B36">
        <w:rPr>
          <w:rFonts w:ascii="Arial" w:hAnsi="Arial" w:cs="Arial"/>
          <w:spacing w:val="0"/>
          <w:position w:val="0"/>
          <w:shd w:val="clear" w:color="auto" w:fill="FFFFFF"/>
          <w:lang w:val="en-US"/>
        </w:rPr>
        <w:t xml:space="preserve">.1997. </w:t>
      </w:r>
      <w:r w:rsidRPr="005C3B36">
        <w:rPr>
          <w:rFonts w:ascii="Arial" w:hAnsi="Arial" w:cs="Arial"/>
          <w:spacing w:val="0"/>
          <w:position w:val="0"/>
          <w:shd w:val="clear" w:color="auto" w:fill="FFFFFF"/>
        </w:rPr>
        <w:t xml:space="preserve">Disponível em: </w:t>
      </w:r>
      <w:hyperlink r:id="rId22" w:history="1">
        <w:r w:rsidRPr="005C3B36">
          <w:rPr>
            <w:rStyle w:val="Hyperlink"/>
            <w:rFonts w:ascii="Arial" w:hAnsi="Arial" w:cs="Arial"/>
            <w:color w:val="auto"/>
            <w:spacing w:val="0"/>
            <w:position w:val="0"/>
          </w:rPr>
          <w:t>https://www.cdc.gov/niosh/docs/97-141/default.html</w:t>
        </w:r>
      </w:hyperlink>
      <w:r w:rsidRPr="005C3B36">
        <w:rPr>
          <w:rFonts w:ascii="Arial" w:hAnsi="Arial" w:cs="Arial"/>
          <w:spacing w:val="0"/>
          <w:position w:val="0"/>
        </w:rPr>
        <w:t xml:space="preserve">. </w:t>
      </w:r>
      <w:r w:rsidRPr="005C3B36">
        <w:rPr>
          <w:rFonts w:ascii="Arial" w:hAnsi="Arial" w:cs="Arial"/>
          <w:spacing w:val="0"/>
          <w:position w:val="0"/>
          <w:shd w:val="clear" w:color="auto" w:fill="FFFFFF"/>
          <w:lang w:val="en-US"/>
        </w:rPr>
        <w:t>A</w:t>
      </w:r>
      <w:r w:rsidRPr="005C3B36">
        <w:rPr>
          <w:rFonts w:ascii="Arial" w:hAnsi="Arial" w:cs="Arial"/>
          <w:spacing w:val="0"/>
          <w:position w:val="0"/>
          <w:shd w:val="clear" w:color="auto" w:fill="FFFFFF"/>
        </w:rPr>
        <w:t>cesso em: 14 abr. 2020.</w:t>
      </w:r>
    </w:p>
    <w:p w14:paraId="36ABB95C" w14:textId="03605C9B" w:rsidR="00811E8D" w:rsidRPr="00471E6B" w:rsidRDefault="00811E8D" w:rsidP="00763C1C">
      <w:pPr>
        <w:contextualSpacing/>
        <w:rPr>
          <w:rFonts w:ascii="Arial" w:hAnsi="Arial" w:cs="Arial"/>
          <w:spacing w:val="0"/>
          <w:position w:val="0"/>
        </w:rPr>
      </w:pPr>
    </w:p>
    <w:sectPr w:rsidR="00811E8D" w:rsidRPr="00471E6B" w:rsidSect="005C3B36">
      <w:type w:val="continuous"/>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57A86" w14:textId="77777777" w:rsidR="00091B25" w:rsidRDefault="00091B25">
      <w:r>
        <w:separator/>
      </w:r>
    </w:p>
  </w:endnote>
  <w:endnote w:type="continuationSeparator" w:id="0">
    <w:p w14:paraId="095DA8DC" w14:textId="77777777" w:rsidR="00091B25" w:rsidRDefault="0009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DCD1E" w14:textId="77777777" w:rsidR="00091B25" w:rsidRDefault="00091B25">
      <w:r>
        <w:separator/>
      </w:r>
    </w:p>
  </w:footnote>
  <w:footnote w:type="continuationSeparator" w:id="0">
    <w:p w14:paraId="4695641A" w14:textId="77777777" w:rsidR="00091B25" w:rsidRDefault="00091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8151B"/>
    <w:multiLevelType w:val="hybridMultilevel"/>
    <w:tmpl w:val="E6E69FD0"/>
    <w:lvl w:ilvl="0" w:tplc="16AACF0A">
      <w:start w:val="1"/>
      <w:numFmt w:val="bullet"/>
      <w:lvlText w:val=""/>
      <w:lvlJc w:val="left"/>
      <w:pPr>
        <w:tabs>
          <w:tab w:val="num" w:pos="720"/>
        </w:tabs>
        <w:ind w:left="720" w:hanging="360"/>
      </w:pPr>
      <w:rPr>
        <w:rFonts w:ascii="Wingdings 2" w:hAnsi="Wingdings 2" w:hint="default"/>
      </w:rPr>
    </w:lvl>
    <w:lvl w:ilvl="1" w:tplc="04160005">
      <w:start w:val="1"/>
      <w:numFmt w:val="bullet"/>
      <w:lvlText w:val=""/>
      <w:lvlJc w:val="left"/>
      <w:pPr>
        <w:tabs>
          <w:tab w:val="num" w:pos="1440"/>
        </w:tabs>
        <w:ind w:left="1440" w:hanging="360"/>
      </w:pPr>
      <w:rPr>
        <w:rFonts w:ascii="Wingdings" w:hAnsi="Wingdings" w:hint="default"/>
      </w:rPr>
    </w:lvl>
    <w:lvl w:ilvl="2" w:tplc="49629878" w:tentative="1">
      <w:start w:val="1"/>
      <w:numFmt w:val="bullet"/>
      <w:lvlText w:val=""/>
      <w:lvlJc w:val="left"/>
      <w:pPr>
        <w:tabs>
          <w:tab w:val="num" w:pos="2160"/>
        </w:tabs>
        <w:ind w:left="2160" w:hanging="360"/>
      </w:pPr>
      <w:rPr>
        <w:rFonts w:ascii="Wingdings 2" w:hAnsi="Wingdings 2" w:hint="default"/>
      </w:rPr>
    </w:lvl>
    <w:lvl w:ilvl="3" w:tplc="B3403A32" w:tentative="1">
      <w:start w:val="1"/>
      <w:numFmt w:val="bullet"/>
      <w:lvlText w:val=""/>
      <w:lvlJc w:val="left"/>
      <w:pPr>
        <w:tabs>
          <w:tab w:val="num" w:pos="2880"/>
        </w:tabs>
        <w:ind w:left="2880" w:hanging="360"/>
      </w:pPr>
      <w:rPr>
        <w:rFonts w:ascii="Wingdings 2" w:hAnsi="Wingdings 2" w:hint="default"/>
      </w:rPr>
    </w:lvl>
    <w:lvl w:ilvl="4" w:tplc="0F360588" w:tentative="1">
      <w:start w:val="1"/>
      <w:numFmt w:val="bullet"/>
      <w:lvlText w:val=""/>
      <w:lvlJc w:val="left"/>
      <w:pPr>
        <w:tabs>
          <w:tab w:val="num" w:pos="3600"/>
        </w:tabs>
        <w:ind w:left="3600" w:hanging="360"/>
      </w:pPr>
      <w:rPr>
        <w:rFonts w:ascii="Wingdings 2" w:hAnsi="Wingdings 2" w:hint="default"/>
      </w:rPr>
    </w:lvl>
    <w:lvl w:ilvl="5" w:tplc="6E005FB2" w:tentative="1">
      <w:start w:val="1"/>
      <w:numFmt w:val="bullet"/>
      <w:lvlText w:val=""/>
      <w:lvlJc w:val="left"/>
      <w:pPr>
        <w:tabs>
          <w:tab w:val="num" w:pos="4320"/>
        </w:tabs>
        <w:ind w:left="4320" w:hanging="360"/>
      </w:pPr>
      <w:rPr>
        <w:rFonts w:ascii="Wingdings 2" w:hAnsi="Wingdings 2" w:hint="default"/>
      </w:rPr>
    </w:lvl>
    <w:lvl w:ilvl="6" w:tplc="887A2F34" w:tentative="1">
      <w:start w:val="1"/>
      <w:numFmt w:val="bullet"/>
      <w:lvlText w:val=""/>
      <w:lvlJc w:val="left"/>
      <w:pPr>
        <w:tabs>
          <w:tab w:val="num" w:pos="5040"/>
        </w:tabs>
        <w:ind w:left="5040" w:hanging="360"/>
      </w:pPr>
      <w:rPr>
        <w:rFonts w:ascii="Wingdings 2" w:hAnsi="Wingdings 2" w:hint="default"/>
      </w:rPr>
    </w:lvl>
    <w:lvl w:ilvl="7" w:tplc="6A8E32F2" w:tentative="1">
      <w:start w:val="1"/>
      <w:numFmt w:val="bullet"/>
      <w:lvlText w:val=""/>
      <w:lvlJc w:val="left"/>
      <w:pPr>
        <w:tabs>
          <w:tab w:val="num" w:pos="5760"/>
        </w:tabs>
        <w:ind w:left="5760" w:hanging="360"/>
      </w:pPr>
      <w:rPr>
        <w:rFonts w:ascii="Wingdings 2" w:hAnsi="Wingdings 2" w:hint="default"/>
      </w:rPr>
    </w:lvl>
    <w:lvl w:ilvl="8" w:tplc="EB7A6D4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8E8492A"/>
    <w:multiLevelType w:val="hybridMultilevel"/>
    <w:tmpl w:val="A0649B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DE6A26"/>
    <w:multiLevelType w:val="hybridMultilevel"/>
    <w:tmpl w:val="0F6053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F17F9"/>
    <w:multiLevelType w:val="hybridMultilevel"/>
    <w:tmpl w:val="E0D25F06"/>
    <w:lvl w:ilvl="0" w:tplc="C9425C2E">
      <w:start w:val="1"/>
      <w:numFmt w:val="bullet"/>
      <w:lvlText w:val=""/>
      <w:lvlJc w:val="left"/>
      <w:pPr>
        <w:tabs>
          <w:tab w:val="num" w:pos="720"/>
        </w:tabs>
        <w:ind w:left="720" w:hanging="360"/>
      </w:pPr>
      <w:rPr>
        <w:rFonts w:ascii="Wingdings 2" w:hAnsi="Wingdings 2" w:hint="default"/>
      </w:rPr>
    </w:lvl>
    <w:lvl w:ilvl="1" w:tplc="AA842D64" w:tentative="1">
      <w:start w:val="1"/>
      <w:numFmt w:val="bullet"/>
      <w:lvlText w:val=""/>
      <w:lvlJc w:val="left"/>
      <w:pPr>
        <w:tabs>
          <w:tab w:val="num" w:pos="1440"/>
        </w:tabs>
        <w:ind w:left="1440" w:hanging="360"/>
      </w:pPr>
      <w:rPr>
        <w:rFonts w:ascii="Wingdings 2" w:hAnsi="Wingdings 2" w:hint="default"/>
      </w:rPr>
    </w:lvl>
    <w:lvl w:ilvl="2" w:tplc="E02A69B2" w:tentative="1">
      <w:start w:val="1"/>
      <w:numFmt w:val="bullet"/>
      <w:lvlText w:val=""/>
      <w:lvlJc w:val="left"/>
      <w:pPr>
        <w:tabs>
          <w:tab w:val="num" w:pos="2160"/>
        </w:tabs>
        <w:ind w:left="2160" w:hanging="360"/>
      </w:pPr>
      <w:rPr>
        <w:rFonts w:ascii="Wingdings 2" w:hAnsi="Wingdings 2" w:hint="default"/>
      </w:rPr>
    </w:lvl>
    <w:lvl w:ilvl="3" w:tplc="4CDC0A74" w:tentative="1">
      <w:start w:val="1"/>
      <w:numFmt w:val="bullet"/>
      <w:lvlText w:val=""/>
      <w:lvlJc w:val="left"/>
      <w:pPr>
        <w:tabs>
          <w:tab w:val="num" w:pos="2880"/>
        </w:tabs>
        <w:ind w:left="2880" w:hanging="360"/>
      </w:pPr>
      <w:rPr>
        <w:rFonts w:ascii="Wingdings 2" w:hAnsi="Wingdings 2" w:hint="default"/>
      </w:rPr>
    </w:lvl>
    <w:lvl w:ilvl="4" w:tplc="5D981F40" w:tentative="1">
      <w:start w:val="1"/>
      <w:numFmt w:val="bullet"/>
      <w:lvlText w:val=""/>
      <w:lvlJc w:val="left"/>
      <w:pPr>
        <w:tabs>
          <w:tab w:val="num" w:pos="3600"/>
        </w:tabs>
        <w:ind w:left="3600" w:hanging="360"/>
      </w:pPr>
      <w:rPr>
        <w:rFonts w:ascii="Wingdings 2" w:hAnsi="Wingdings 2" w:hint="default"/>
      </w:rPr>
    </w:lvl>
    <w:lvl w:ilvl="5" w:tplc="2244ED4E" w:tentative="1">
      <w:start w:val="1"/>
      <w:numFmt w:val="bullet"/>
      <w:lvlText w:val=""/>
      <w:lvlJc w:val="left"/>
      <w:pPr>
        <w:tabs>
          <w:tab w:val="num" w:pos="4320"/>
        </w:tabs>
        <w:ind w:left="4320" w:hanging="360"/>
      </w:pPr>
      <w:rPr>
        <w:rFonts w:ascii="Wingdings 2" w:hAnsi="Wingdings 2" w:hint="default"/>
      </w:rPr>
    </w:lvl>
    <w:lvl w:ilvl="6" w:tplc="6B2E49F6" w:tentative="1">
      <w:start w:val="1"/>
      <w:numFmt w:val="bullet"/>
      <w:lvlText w:val=""/>
      <w:lvlJc w:val="left"/>
      <w:pPr>
        <w:tabs>
          <w:tab w:val="num" w:pos="5040"/>
        </w:tabs>
        <w:ind w:left="5040" w:hanging="360"/>
      </w:pPr>
      <w:rPr>
        <w:rFonts w:ascii="Wingdings 2" w:hAnsi="Wingdings 2" w:hint="default"/>
      </w:rPr>
    </w:lvl>
    <w:lvl w:ilvl="7" w:tplc="DA58DCB8" w:tentative="1">
      <w:start w:val="1"/>
      <w:numFmt w:val="bullet"/>
      <w:lvlText w:val=""/>
      <w:lvlJc w:val="left"/>
      <w:pPr>
        <w:tabs>
          <w:tab w:val="num" w:pos="5760"/>
        </w:tabs>
        <w:ind w:left="5760" w:hanging="360"/>
      </w:pPr>
      <w:rPr>
        <w:rFonts w:ascii="Wingdings 2" w:hAnsi="Wingdings 2" w:hint="default"/>
      </w:rPr>
    </w:lvl>
    <w:lvl w:ilvl="8" w:tplc="42F2A1E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9771722"/>
    <w:multiLevelType w:val="hybridMultilevel"/>
    <w:tmpl w:val="C81ED99C"/>
    <w:lvl w:ilvl="0" w:tplc="BE4619F0">
      <w:start w:val="1"/>
      <w:numFmt w:val="bullet"/>
      <w:lvlText w:val=""/>
      <w:lvlJc w:val="left"/>
      <w:pPr>
        <w:tabs>
          <w:tab w:val="num" w:pos="720"/>
        </w:tabs>
        <w:ind w:left="720" w:hanging="360"/>
      </w:pPr>
      <w:rPr>
        <w:rFonts w:ascii="Wingdings 2" w:hAnsi="Wingdings 2" w:hint="default"/>
      </w:rPr>
    </w:lvl>
    <w:lvl w:ilvl="1" w:tplc="5064A358" w:tentative="1">
      <w:start w:val="1"/>
      <w:numFmt w:val="bullet"/>
      <w:lvlText w:val=""/>
      <w:lvlJc w:val="left"/>
      <w:pPr>
        <w:tabs>
          <w:tab w:val="num" w:pos="1440"/>
        </w:tabs>
        <w:ind w:left="1440" w:hanging="360"/>
      </w:pPr>
      <w:rPr>
        <w:rFonts w:ascii="Wingdings 2" w:hAnsi="Wingdings 2" w:hint="default"/>
      </w:rPr>
    </w:lvl>
    <w:lvl w:ilvl="2" w:tplc="07689054" w:tentative="1">
      <w:start w:val="1"/>
      <w:numFmt w:val="bullet"/>
      <w:lvlText w:val=""/>
      <w:lvlJc w:val="left"/>
      <w:pPr>
        <w:tabs>
          <w:tab w:val="num" w:pos="2160"/>
        </w:tabs>
        <w:ind w:left="2160" w:hanging="360"/>
      </w:pPr>
      <w:rPr>
        <w:rFonts w:ascii="Wingdings 2" w:hAnsi="Wingdings 2" w:hint="default"/>
      </w:rPr>
    </w:lvl>
    <w:lvl w:ilvl="3" w:tplc="63729138" w:tentative="1">
      <w:start w:val="1"/>
      <w:numFmt w:val="bullet"/>
      <w:lvlText w:val=""/>
      <w:lvlJc w:val="left"/>
      <w:pPr>
        <w:tabs>
          <w:tab w:val="num" w:pos="2880"/>
        </w:tabs>
        <w:ind w:left="2880" w:hanging="360"/>
      </w:pPr>
      <w:rPr>
        <w:rFonts w:ascii="Wingdings 2" w:hAnsi="Wingdings 2" w:hint="default"/>
      </w:rPr>
    </w:lvl>
    <w:lvl w:ilvl="4" w:tplc="882CA79E" w:tentative="1">
      <w:start w:val="1"/>
      <w:numFmt w:val="bullet"/>
      <w:lvlText w:val=""/>
      <w:lvlJc w:val="left"/>
      <w:pPr>
        <w:tabs>
          <w:tab w:val="num" w:pos="3600"/>
        </w:tabs>
        <w:ind w:left="3600" w:hanging="360"/>
      </w:pPr>
      <w:rPr>
        <w:rFonts w:ascii="Wingdings 2" w:hAnsi="Wingdings 2" w:hint="default"/>
      </w:rPr>
    </w:lvl>
    <w:lvl w:ilvl="5" w:tplc="CCD6EDAA" w:tentative="1">
      <w:start w:val="1"/>
      <w:numFmt w:val="bullet"/>
      <w:lvlText w:val=""/>
      <w:lvlJc w:val="left"/>
      <w:pPr>
        <w:tabs>
          <w:tab w:val="num" w:pos="4320"/>
        </w:tabs>
        <w:ind w:left="4320" w:hanging="360"/>
      </w:pPr>
      <w:rPr>
        <w:rFonts w:ascii="Wingdings 2" w:hAnsi="Wingdings 2" w:hint="default"/>
      </w:rPr>
    </w:lvl>
    <w:lvl w:ilvl="6" w:tplc="22AEE15C" w:tentative="1">
      <w:start w:val="1"/>
      <w:numFmt w:val="bullet"/>
      <w:lvlText w:val=""/>
      <w:lvlJc w:val="left"/>
      <w:pPr>
        <w:tabs>
          <w:tab w:val="num" w:pos="5040"/>
        </w:tabs>
        <w:ind w:left="5040" w:hanging="360"/>
      </w:pPr>
      <w:rPr>
        <w:rFonts w:ascii="Wingdings 2" w:hAnsi="Wingdings 2" w:hint="default"/>
      </w:rPr>
    </w:lvl>
    <w:lvl w:ilvl="7" w:tplc="354E774C" w:tentative="1">
      <w:start w:val="1"/>
      <w:numFmt w:val="bullet"/>
      <w:lvlText w:val=""/>
      <w:lvlJc w:val="left"/>
      <w:pPr>
        <w:tabs>
          <w:tab w:val="num" w:pos="5760"/>
        </w:tabs>
        <w:ind w:left="5760" w:hanging="360"/>
      </w:pPr>
      <w:rPr>
        <w:rFonts w:ascii="Wingdings 2" w:hAnsi="Wingdings 2" w:hint="default"/>
      </w:rPr>
    </w:lvl>
    <w:lvl w:ilvl="8" w:tplc="FF3C2614"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9A"/>
    <w:rsid w:val="0000407E"/>
    <w:rsid w:val="00007714"/>
    <w:rsid w:val="00030DA7"/>
    <w:rsid w:val="00032B98"/>
    <w:rsid w:val="0003388C"/>
    <w:rsid w:val="000367EE"/>
    <w:rsid w:val="00040A3A"/>
    <w:rsid w:val="000413A3"/>
    <w:rsid w:val="0004247F"/>
    <w:rsid w:val="00043C4E"/>
    <w:rsid w:val="00050BD8"/>
    <w:rsid w:val="0005589B"/>
    <w:rsid w:val="00055F81"/>
    <w:rsid w:val="000572B3"/>
    <w:rsid w:val="00057832"/>
    <w:rsid w:val="000630D8"/>
    <w:rsid w:val="00071EF9"/>
    <w:rsid w:val="00075438"/>
    <w:rsid w:val="00080910"/>
    <w:rsid w:val="00083F61"/>
    <w:rsid w:val="000913AB"/>
    <w:rsid w:val="00091B25"/>
    <w:rsid w:val="00091E7C"/>
    <w:rsid w:val="000A0591"/>
    <w:rsid w:val="000A4D66"/>
    <w:rsid w:val="000A7211"/>
    <w:rsid w:val="000C18BF"/>
    <w:rsid w:val="000C1FD8"/>
    <w:rsid w:val="000C2FDD"/>
    <w:rsid w:val="000C4A7F"/>
    <w:rsid w:val="000C6E8E"/>
    <w:rsid w:val="000C6FAC"/>
    <w:rsid w:val="000D43D9"/>
    <w:rsid w:val="000D66AF"/>
    <w:rsid w:val="000D6E92"/>
    <w:rsid w:val="00122EF0"/>
    <w:rsid w:val="0012307C"/>
    <w:rsid w:val="00131455"/>
    <w:rsid w:val="00134D9A"/>
    <w:rsid w:val="001358B0"/>
    <w:rsid w:val="00135C1D"/>
    <w:rsid w:val="00142190"/>
    <w:rsid w:val="00146521"/>
    <w:rsid w:val="00151EB7"/>
    <w:rsid w:val="001527C9"/>
    <w:rsid w:val="00152EE8"/>
    <w:rsid w:val="00164B13"/>
    <w:rsid w:val="001658E9"/>
    <w:rsid w:val="00165C04"/>
    <w:rsid w:val="00172977"/>
    <w:rsid w:val="00186567"/>
    <w:rsid w:val="00197EA7"/>
    <w:rsid w:val="001B0A7C"/>
    <w:rsid w:val="001B1255"/>
    <w:rsid w:val="001B61A0"/>
    <w:rsid w:val="001C6834"/>
    <w:rsid w:val="001D3716"/>
    <w:rsid w:val="001D6B8F"/>
    <w:rsid w:val="001D7B71"/>
    <w:rsid w:val="001F31AE"/>
    <w:rsid w:val="001F3F7C"/>
    <w:rsid w:val="001F424E"/>
    <w:rsid w:val="001F6E92"/>
    <w:rsid w:val="001F770B"/>
    <w:rsid w:val="00202250"/>
    <w:rsid w:val="002029D6"/>
    <w:rsid w:val="002046B1"/>
    <w:rsid w:val="0020686F"/>
    <w:rsid w:val="0021065F"/>
    <w:rsid w:val="002259D5"/>
    <w:rsid w:val="0022731D"/>
    <w:rsid w:val="00233995"/>
    <w:rsid w:val="0023530B"/>
    <w:rsid w:val="00235C4B"/>
    <w:rsid w:val="00240CDB"/>
    <w:rsid w:val="0024379C"/>
    <w:rsid w:val="00243E3A"/>
    <w:rsid w:val="00250E70"/>
    <w:rsid w:val="00252526"/>
    <w:rsid w:val="002552FB"/>
    <w:rsid w:val="00272221"/>
    <w:rsid w:val="00274FCA"/>
    <w:rsid w:val="00275F83"/>
    <w:rsid w:val="00292F4F"/>
    <w:rsid w:val="00293FA0"/>
    <w:rsid w:val="002A4B97"/>
    <w:rsid w:val="002A61EF"/>
    <w:rsid w:val="002B570F"/>
    <w:rsid w:val="002C4E7F"/>
    <w:rsid w:val="002D32F9"/>
    <w:rsid w:val="002E1DDB"/>
    <w:rsid w:val="002E5ED0"/>
    <w:rsid w:val="002F0D5C"/>
    <w:rsid w:val="002F5471"/>
    <w:rsid w:val="002F60E1"/>
    <w:rsid w:val="00302221"/>
    <w:rsid w:val="003105D2"/>
    <w:rsid w:val="00311FFA"/>
    <w:rsid w:val="00312ED5"/>
    <w:rsid w:val="00313F37"/>
    <w:rsid w:val="00323EC3"/>
    <w:rsid w:val="00330CCD"/>
    <w:rsid w:val="00341C12"/>
    <w:rsid w:val="00343A4C"/>
    <w:rsid w:val="0034472C"/>
    <w:rsid w:val="0036611C"/>
    <w:rsid w:val="00371B55"/>
    <w:rsid w:val="00376743"/>
    <w:rsid w:val="00380DB4"/>
    <w:rsid w:val="003840CD"/>
    <w:rsid w:val="00394356"/>
    <w:rsid w:val="003A109C"/>
    <w:rsid w:val="003B156A"/>
    <w:rsid w:val="003B2B41"/>
    <w:rsid w:val="003B2FE9"/>
    <w:rsid w:val="003C3582"/>
    <w:rsid w:val="003D36ED"/>
    <w:rsid w:val="003E0429"/>
    <w:rsid w:val="003F1A2D"/>
    <w:rsid w:val="003F32E7"/>
    <w:rsid w:val="003F40BB"/>
    <w:rsid w:val="003F4DE6"/>
    <w:rsid w:val="003F5923"/>
    <w:rsid w:val="004076AA"/>
    <w:rsid w:val="0041332E"/>
    <w:rsid w:val="00417FE9"/>
    <w:rsid w:val="004206BC"/>
    <w:rsid w:val="00424B09"/>
    <w:rsid w:val="004271EA"/>
    <w:rsid w:val="00427EB2"/>
    <w:rsid w:val="00430881"/>
    <w:rsid w:val="00431612"/>
    <w:rsid w:val="004326D9"/>
    <w:rsid w:val="00432BF0"/>
    <w:rsid w:val="00434122"/>
    <w:rsid w:val="0043693F"/>
    <w:rsid w:val="00440766"/>
    <w:rsid w:val="00442358"/>
    <w:rsid w:val="0044306D"/>
    <w:rsid w:val="00444F47"/>
    <w:rsid w:val="0045182A"/>
    <w:rsid w:val="00455466"/>
    <w:rsid w:val="00463D55"/>
    <w:rsid w:val="00465E86"/>
    <w:rsid w:val="0046629E"/>
    <w:rsid w:val="004717B4"/>
    <w:rsid w:val="00471E6B"/>
    <w:rsid w:val="004723AA"/>
    <w:rsid w:val="0047661B"/>
    <w:rsid w:val="0047695D"/>
    <w:rsid w:val="00476CB5"/>
    <w:rsid w:val="004858AE"/>
    <w:rsid w:val="00493305"/>
    <w:rsid w:val="00494849"/>
    <w:rsid w:val="00495AA6"/>
    <w:rsid w:val="00495DDE"/>
    <w:rsid w:val="004A10FB"/>
    <w:rsid w:val="004A6375"/>
    <w:rsid w:val="004B34D5"/>
    <w:rsid w:val="004B5E3B"/>
    <w:rsid w:val="004B690F"/>
    <w:rsid w:val="004C2776"/>
    <w:rsid w:val="004C546B"/>
    <w:rsid w:val="004D0A43"/>
    <w:rsid w:val="004D3757"/>
    <w:rsid w:val="004F07EC"/>
    <w:rsid w:val="004F0A9C"/>
    <w:rsid w:val="004F2121"/>
    <w:rsid w:val="004F4972"/>
    <w:rsid w:val="004F5A8C"/>
    <w:rsid w:val="00500E6C"/>
    <w:rsid w:val="00503962"/>
    <w:rsid w:val="00507B00"/>
    <w:rsid w:val="00510299"/>
    <w:rsid w:val="00514792"/>
    <w:rsid w:val="00514943"/>
    <w:rsid w:val="00523732"/>
    <w:rsid w:val="005258F6"/>
    <w:rsid w:val="00531941"/>
    <w:rsid w:val="00537445"/>
    <w:rsid w:val="00541D5E"/>
    <w:rsid w:val="00541E26"/>
    <w:rsid w:val="00552FE1"/>
    <w:rsid w:val="0055449D"/>
    <w:rsid w:val="00555E78"/>
    <w:rsid w:val="00556CAF"/>
    <w:rsid w:val="00560D2E"/>
    <w:rsid w:val="005618BF"/>
    <w:rsid w:val="00571DE5"/>
    <w:rsid w:val="0059682B"/>
    <w:rsid w:val="00597711"/>
    <w:rsid w:val="00597846"/>
    <w:rsid w:val="005A2D18"/>
    <w:rsid w:val="005A55B3"/>
    <w:rsid w:val="005B39B4"/>
    <w:rsid w:val="005C0B53"/>
    <w:rsid w:val="005C3B36"/>
    <w:rsid w:val="005C48D0"/>
    <w:rsid w:val="005C768B"/>
    <w:rsid w:val="005D2985"/>
    <w:rsid w:val="005D2BCF"/>
    <w:rsid w:val="005D54A8"/>
    <w:rsid w:val="005D556E"/>
    <w:rsid w:val="005D55B0"/>
    <w:rsid w:val="005D7BA6"/>
    <w:rsid w:val="005E4689"/>
    <w:rsid w:val="005E4821"/>
    <w:rsid w:val="005E486C"/>
    <w:rsid w:val="005F0D79"/>
    <w:rsid w:val="005F2203"/>
    <w:rsid w:val="00600AE2"/>
    <w:rsid w:val="00602121"/>
    <w:rsid w:val="0062028E"/>
    <w:rsid w:val="00623D89"/>
    <w:rsid w:val="006321D1"/>
    <w:rsid w:val="0063259D"/>
    <w:rsid w:val="006408DF"/>
    <w:rsid w:val="00643FDF"/>
    <w:rsid w:val="006464D8"/>
    <w:rsid w:val="00646A4E"/>
    <w:rsid w:val="0065031C"/>
    <w:rsid w:val="00651016"/>
    <w:rsid w:val="00655F54"/>
    <w:rsid w:val="006562E9"/>
    <w:rsid w:val="00657BF1"/>
    <w:rsid w:val="00661896"/>
    <w:rsid w:val="00661949"/>
    <w:rsid w:val="00661E35"/>
    <w:rsid w:val="00664B42"/>
    <w:rsid w:val="0067539F"/>
    <w:rsid w:val="00680E97"/>
    <w:rsid w:val="006843E7"/>
    <w:rsid w:val="00685472"/>
    <w:rsid w:val="006963C9"/>
    <w:rsid w:val="006A00CD"/>
    <w:rsid w:val="006A0DE1"/>
    <w:rsid w:val="006B1125"/>
    <w:rsid w:val="006B29B6"/>
    <w:rsid w:val="006B6C6B"/>
    <w:rsid w:val="006B7754"/>
    <w:rsid w:val="006D6662"/>
    <w:rsid w:val="006E2A46"/>
    <w:rsid w:val="007101CE"/>
    <w:rsid w:val="00716595"/>
    <w:rsid w:val="0071741E"/>
    <w:rsid w:val="007313FA"/>
    <w:rsid w:val="00747D50"/>
    <w:rsid w:val="007506AB"/>
    <w:rsid w:val="00763C1C"/>
    <w:rsid w:val="00765B88"/>
    <w:rsid w:val="00767F76"/>
    <w:rsid w:val="0077605A"/>
    <w:rsid w:val="00780E11"/>
    <w:rsid w:val="00785C6E"/>
    <w:rsid w:val="007870CB"/>
    <w:rsid w:val="00787A66"/>
    <w:rsid w:val="00787C56"/>
    <w:rsid w:val="007966BD"/>
    <w:rsid w:val="007A1D3C"/>
    <w:rsid w:val="007A4080"/>
    <w:rsid w:val="007A7FCF"/>
    <w:rsid w:val="007B05F5"/>
    <w:rsid w:val="007B1627"/>
    <w:rsid w:val="007B6A95"/>
    <w:rsid w:val="007B6B77"/>
    <w:rsid w:val="007D256F"/>
    <w:rsid w:val="007D294F"/>
    <w:rsid w:val="007D7E81"/>
    <w:rsid w:val="007E0C9F"/>
    <w:rsid w:val="007E21EA"/>
    <w:rsid w:val="007E63A8"/>
    <w:rsid w:val="007E6BD7"/>
    <w:rsid w:val="007F1AB5"/>
    <w:rsid w:val="00804AE1"/>
    <w:rsid w:val="00805286"/>
    <w:rsid w:val="00811E8D"/>
    <w:rsid w:val="00821876"/>
    <w:rsid w:val="00825304"/>
    <w:rsid w:val="00833815"/>
    <w:rsid w:val="008357EF"/>
    <w:rsid w:val="0084113E"/>
    <w:rsid w:val="00846FE4"/>
    <w:rsid w:val="008565EE"/>
    <w:rsid w:val="00862677"/>
    <w:rsid w:val="008646F7"/>
    <w:rsid w:val="00874B8E"/>
    <w:rsid w:val="00876722"/>
    <w:rsid w:val="008826DF"/>
    <w:rsid w:val="00887B44"/>
    <w:rsid w:val="00890FDC"/>
    <w:rsid w:val="00893CCC"/>
    <w:rsid w:val="00895C24"/>
    <w:rsid w:val="00896019"/>
    <w:rsid w:val="00896ACC"/>
    <w:rsid w:val="008A14DF"/>
    <w:rsid w:val="008A3734"/>
    <w:rsid w:val="008A3C23"/>
    <w:rsid w:val="008B08E8"/>
    <w:rsid w:val="008B0F7E"/>
    <w:rsid w:val="008B32E7"/>
    <w:rsid w:val="008B479E"/>
    <w:rsid w:val="008B4F5C"/>
    <w:rsid w:val="008C4DD3"/>
    <w:rsid w:val="008C72FC"/>
    <w:rsid w:val="008D473A"/>
    <w:rsid w:val="008E76A6"/>
    <w:rsid w:val="008F5200"/>
    <w:rsid w:val="008F536E"/>
    <w:rsid w:val="009021A2"/>
    <w:rsid w:val="00902708"/>
    <w:rsid w:val="00902BB7"/>
    <w:rsid w:val="0091018D"/>
    <w:rsid w:val="0091210D"/>
    <w:rsid w:val="009123C1"/>
    <w:rsid w:val="009143EA"/>
    <w:rsid w:val="009147FF"/>
    <w:rsid w:val="00920488"/>
    <w:rsid w:val="00932415"/>
    <w:rsid w:val="00932E54"/>
    <w:rsid w:val="009453F1"/>
    <w:rsid w:val="00946F22"/>
    <w:rsid w:val="009534B2"/>
    <w:rsid w:val="009561EB"/>
    <w:rsid w:val="00961CA8"/>
    <w:rsid w:val="0096365B"/>
    <w:rsid w:val="00966C10"/>
    <w:rsid w:val="00976DEE"/>
    <w:rsid w:val="00977EC8"/>
    <w:rsid w:val="009807DF"/>
    <w:rsid w:val="00984295"/>
    <w:rsid w:val="00991FDD"/>
    <w:rsid w:val="009955EC"/>
    <w:rsid w:val="009A3B1B"/>
    <w:rsid w:val="009A3D3A"/>
    <w:rsid w:val="009B63D7"/>
    <w:rsid w:val="009C2506"/>
    <w:rsid w:val="009C2F37"/>
    <w:rsid w:val="009C67BC"/>
    <w:rsid w:val="009D3C84"/>
    <w:rsid w:val="009D4B3D"/>
    <w:rsid w:val="009D750A"/>
    <w:rsid w:val="009D77E0"/>
    <w:rsid w:val="009E0A59"/>
    <w:rsid w:val="009E218E"/>
    <w:rsid w:val="009E4C89"/>
    <w:rsid w:val="009E6B12"/>
    <w:rsid w:val="009F08F8"/>
    <w:rsid w:val="009F1E9F"/>
    <w:rsid w:val="00A1342E"/>
    <w:rsid w:val="00A20987"/>
    <w:rsid w:val="00A3693A"/>
    <w:rsid w:val="00A53A0F"/>
    <w:rsid w:val="00A57A88"/>
    <w:rsid w:val="00A649CC"/>
    <w:rsid w:val="00A65C98"/>
    <w:rsid w:val="00A67060"/>
    <w:rsid w:val="00A746F1"/>
    <w:rsid w:val="00A90103"/>
    <w:rsid w:val="00A91151"/>
    <w:rsid w:val="00A93C17"/>
    <w:rsid w:val="00A960F3"/>
    <w:rsid w:val="00A966DD"/>
    <w:rsid w:val="00AB5A95"/>
    <w:rsid w:val="00AB6922"/>
    <w:rsid w:val="00AC1C7B"/>
    <w:rsid w:val="00AC2DD2"/>
    <w:rsid w:val="00AC6B6C"/>
    <w:rsid w:val="00AD1602"/>
    <w:rsid w:val="00AD2B80"/>
    <w:rsid w:val="00AD2E13"/>
    <w:rsid w:val="00AD3A9F"/>
    <w:rsid w:val="00AD49C0"/>
    <w:rsid w:val="00AD72B5"/>
    <w:rsid w:val="00AF4DC3"/>
    <w:rsid w:val="00B036F0"/>
    <w:rsid w:val="00B042C7"/>
    <w:rsid w:val="00B05CFA"/>
    <w:rsid w:val="00B0744D"/>
    <w:rsid w:val="00B130E3"/>
    <w:rsid w:val="00B14AC4"/>
    <w:rsid w:val="00B16153"/>
    <w:rsid w:val="00B21BA5"/>
    <w:rsid w:val="00B22792"/>
    <w:rsid w:val="00B259D4"/>
    <w:rsid w:val="00B27C96"/>
    <w:rsid w:val="00B30173"/>
    <w:rsid w:val="00B30206"/>
    <w:rsid w:val="00B34115"/>
    <w:rsid w:val="00B358E4"/>
    <w:rsid w:val="00B368A1"/>
    <w:rsid w:val="00B43312"/>
    <w:rsid w:val="00B471FC"/>
    <w:rsid w:val="00B52E11"/>
    <w:rsid w:val="00B6075C"/>
    <w:rsid w:val="00B66079"/>
    <w:rsid w:val="00B72024"/>
    <w:rsid w:val="00B74B5D"/>
    <w:rsid w:val="00B9094F"/>
    <w:rsid w:val="00B93316"/>
    <w:rsid w:val="00B943CB"/>
    <w:rsid w:val="00BA767C"/>
    <w:rsid w:val="00BB1D45"/>
    <w:rsid w:val="00BB4979"/>
    <w:rsid w:val="00BB5918"/>
    <w:rsid w:val="00BC058D"/>
    <w:rsid w:val="00BC0693"/>
    <w:rsid w:val="00BC54FF"/>
    <w:rsid w:val="00BC7F00"/>
    <w:rsid w:val="00BD291C"/>
    <w:rsid w:val="00BD7734"/>
    <w:rsid w:val="00BE66B1"/>
    <w:rsid w:val="00BF1175"/>
    <w:rsid w:val="00C02154"/>
    <w:rsid w:val="00C0429C"/>
    <w:rsid w:val="00C049C0"/>
    <w:rsid w:val="00C0720D"/>
    <w:rsid w:val="00C10F33"/>
    <w:rsid w:val="00C14E3B"/>
    <w:rsid w:val="00C1631D"/>
    <w:rsid w:val="00C2129D"/>
    <w:rsid w:val="00C240B8"/>
    <w:rsid w:val="00C32CDF"/>
    <w:rsid w:val="00C347AF"/>
    <w:rsid w:val="00C50D91"/>
    <w:rsid w:val="00C5489A"/>
    <w:rsid w:val="00C5637B"/>
    <w:rsid w:val="00C6062B"/>
    <w:rsid w:val="00C64381"/>
    <w:rsid w:val="00C714E8"/>
    <w:rsid w:val="00C76967"/>
    <w:rsid w:val="00C776C0"/>
    <w:rsid w:val="00C8001B"/>
    <w:rsid w:val="00C91A82"/>
    <w:rsid w:val="00CA438E"/>
    <w:rsid w:val="00CC01B2"/>
    <w:rsid w:val="00CC2B3C"/>
    <w:rsid w:val="00CC5EA2"/>
    <w:rsid w:val="00CC6093"/>
    <w:rsid w:val="00CD4389"/>
    <w:rsid w:val="00CD6EAE"/>
    <w:rsid w:val="00CF7DB6"/>
    <w:rsid w:val="00D01527"/>
    <w:rsid w:val="00D02009"/>
    <w:rsid w:val="00D13DFC"/>
    <w:rsid w:val="00D229D9"/>
    <w:rsid w:val="00D34E79"/>
    <w:rsid w:val="00D35D03"/>
    <w:rsid w:val="00D45B9B"/>
    <w:rsid w:val="00D4635E"/>
    <w:rsid w:val="00D5316E"/>
    <w:rsid w:val="00D55434"/>
    <w:rsid w:val="00D55440"/>
    <w:rsid w:val="00D57B56"/>
    <w:rsid w:val="00D60AE7"/>
    <w:rsid w:val="00D65DC0"/>
    <w:rsid w:val="00D67193"/>
    <w:rsid w:val="00D90631"/>
    <w:rsid w:val="00DA15A1"/>
    <w:rsid w:val="00DA29D6"/>
    <w:rsid w:val="00DA3CDD"/>
    <w:rsid w:val="00DA7084"/>
    <w:rsid w:val="00DB4203"/>
    <w:rsid w:val="00DC24BA"/>
    <w:rsid w:val="00DD18C7"/>
    <w:rsid w:val="00DD23A1"/>
    <w:rsid w:val="00DD471E"/>
    <w:rsid w:val="00DD5159"/>
    <w:rsid w:val="00DD72FF"/>
    <w:rsid w:val="00DE3ED1"/>
    <w:rsid w:val="00DE5058"/>
    <w:rsid w:val="00DE5A16"/>
    <w:rsid w:val="00DF4919"/>
    <w:rsid w:val="00DF4DB0"/>
    <w:rsid w:val="00E006E4"/>
    <w:rsid w:val="00E01AEB"/>
    <w:rsid w:val="00E0490C"/>
    <w:rsid w:val="00E06CD5"/>
    <w:rsid w:val="00E15822"/>
    <w:rsid w:val="00E273E0"/>
    <w:rsid w:val="00E31E23"/>
    <w:rsid w:val="00E44577"/>
    <w:rsid w:val="00E46145"/>
    <w:rsid w:val="00E604CF"/>
    <w:rsid w:val="00E668F3"/>
    <w:rsid w:val="00E73BEF"/>
    <w:rsid w:val="00E808B8"/>
    <w:rsid w:val="00E84EE4"/>
    <w:rsid w:val="00E8553F"/>
    <w:rsid w:val="00E9095E"/>
    <w:rsid w:val="00E914A6"/>
    <w:rsid w:val="00EA2131"/>
    <w:rsid w:val="00EA496A"/>
    <w:rsid w:val="00EB20BC"/>
    <w:rsid w:val="00EB7733"/>
    <w:rsid w:val="00EC52C1"/>
    <w:rsid w:val="00EC5E66"/>
    <w:rsid w:val="00EC7FC4"/>
    <w:rsid w:val="00ED2057"/>
    <w:rsid w:val="00ED24A5"/>
    <w:rsid w:val="00ED615D"/>
    <w:rsid w:val="00EE3DEB"/>
    <w:rsid w:val="00EE43B7"/>
    <w:rsid w:val="00EE4DEF"/>
    <w:rsid w:val="00EF7D7F"/>
    <w:rsid w:val="00EF7F19"/>
    <w:rsid w:val="00F01D08"/>
    <w:rsid w:val="00F022F2"/>
    <w:rsid w:val="00F0376C"/>
    <w:rsid w:val="00F066E4"/>
    <w:rsid w:val="00F15B94"/>
    <w:rsid w:val="00F24062"/>
    <w:rsid w:val="00F248B6"/>
    <w:rsid w:val="00F24BA4"/>
    <w:rsid w:val="00F3388D"/>
    <w:rsid w:val="00F4344D"/>
    <w:rsid w:val="00F437A7"/>
    <w:rsid w:val="00F43E24"/>
    <w:rsid w:val="00F519BA"/>
    <w:rsid w:val="00F673DA"/>
    <w:rsid w:val="00F752C5"/>
    <w:rsid w:val="00F80EF1"/>
    <w:rsid w:val="00F8418F"/>
    <w:rsid w:val="00F92198"/>
    <w:rsid w:val="00F95627"/>
    <w:rsid w:val="00F95B5E"/>
    <w:rsid w:val="00FA0D00"/>
    <w:rsid w:val="00FA1268"/>
    <w:rsid w:val="00FA21DF"/>
    <w:rsid w:val="00FA3F02"/>
    <w:rsid w:val="00FA4504"/>
    <w:rsid w:val="00FB1851"/>
    <w:rsid w:val="00FB1EE4"/>
    <w:rsid w:val="00FB2DE3"/>
    <w:rsid w:val="00FB32E6"/>
    <w:rsid w:val="00FC07A6"/>
    <w:rsid w:val="00FC08AE"/>
    <w:rsid w:val="00FD03FD"/>
    <w:rsid w:val="00FD5162"/>
    <w:rsid w:val="00FD644F"/>
    <w:rsid w:val="00FD6727"/>
    <w:rsid w:val="00FE1EDF"/>
    <w:rsid w:val="00FE2F80"/>
    <w:rsid w:val="00FF4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FB4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position w:val="-6"/>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4635E"/>
    <w:rPr>
      <w:rFonts w:ascii="Verdana" w:hAnsi="Verdana"/>
      <w:b/>
    </w:rPr>
    <w:tblPr>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Pr>
  </w:style>
  <w:style w:type="paragraph" w:styleId="Textodenotaderodap">
    <w:name w:val="footnote text"/>
    <w:basedOn w:val="Normal"/>
    <w:semiHidden/>
    <w:rsid w:val="00134D9A"/>
    <w:rPr>
      <w:sz w:val="20"/>
      <w:szCs w:val="20"/>
    </w:rPr>
  </w:style>
  <w:style w:type="character" w:styleId="Refdenotaderodap">
    <w:name w:val="footnote reference"/>
    <w:semiHidden/>
    <w:rsid w:val="00134D9A"/>
    <w:rPr>
      <w:vertAlign w:val="superscript"/>
    </w:rPr>
  </w:style>
  <w:style w:type="paragraph" w:styleId="Cabealho">
    <w:name w:val="header"/>
    <w:basedOn w:val="Normal"/>
    <w:rsid w:val="0067539F"/>
    <w:pPr>
      <w:tabs>
        <w:tab w:val="center" w:pos="4252"/>
        <w:tab w:val="right" w:pos="8504"/>
      </w:tabs>
    </w:pPr>
  </w:style>
  <w:style w:type="character" w:styleId="Nmerodepgina">
    <w:name w:val="page number"/>
    <w:basedOn w:val="Fontepargpadro"/>
    <w:rsid w:val="0067539F"/>
  </w:style>
  <w:style w:type="character" w:styleId="Hyperlink">
    <w:name w:val="Hyperlink"/>
    <w:uiPriority w:val="99"/>
    <w:rsid w:val="00DB4203"/>
    <w:rPr>
      <w:color w:val="0000FF"/>
      <w:u w:val="single"/>
    </w:rPr>
  </w:style>
  <w:style w:type="paragraph" w:styleId="Rodap">
    <w:name w:val="footer"/>
    <w:basedOn w:val="Normal"/>
    <w:link w:val="RodapChar"/>
    <w:uiPriority w:val="99"/>
    <w:rsid w:val="000A4D66"/>
    <w:pPr>
      <w:tabs>
        <w:tab w:val="center" w:pos="4252"/>
        <w:tab w:val="right" w:pos="8504"/>
      </w:tabs>
    </w:pPr>
  </w:style>
  <w:style w:type="character" w:customStyle="1" w:styleId="RodapChar">
    <w:name w:val="Rodapé Char"/>
    <w:link w:val="Rodap"/>
    <w:uiPriority w:val="99"/>
    <w:rsid w:val="000A4D66"/>
    <w:rPr>
      <w:spacing w:val="-20"/>
      <w:position w:val="-6"/>
      <w:sz w:val="24"/>
      <w:szCs w:val="24"/>
    </w:rPr>
  </w:style>
  <w:style w:type="paragraph" w:styleId="PargrafodaLista">
    <w:name w:val="List Paragraph"/>
    <w:basedOn w:val="Normal"/>
    <w:uiPriority w:val="34"/>
    <w:qFormat/>
    <w:rsid w:val="00716595"/>
    <w:pPr>
      <w:ind w:left="720"/>
      <w:contextualSpacing/>
    </w:pPr>
    <w:rPr>
      <w:spacing w:val="0"/>
      <w:position w:val="0"/>
    </w:rPr>
  </w:style>
  <w:style w:type="paragraph" w:styleId="NormalWeb">
    <w:name w:val="Normal (Web)"/>
    <w:basedOn w:val="Normal"/>
    <w:uiPriority w:val="99"/>
    <w:unhideWhenUsed/>
    <w:rsid w:val="00804AE1"/>
    <w:pPr>
      <w:spacing w:before="100" w:beforeAutospacing="1" w:after="100" w:afterAutospacing="1"/>
    </w:pPr>
    <w:rPr>
      <w:spacing w:val="0"/>
      <w:position w:val="0"/>
    </w:rPr>
  </w:style>
  <w:style w:type="character" w:styleId="Forte">
    <w:name w:val="Strong"/>
    <w:basedOn w:val="Fontepargpadro"/>
    <w:uiPriority w:val="22"/>
    <w:qFormat/>
    <w:rsid w:val="00804AE1"/>
    <w:rPr>
      <w:b/>
      <w:bCs/>
    </w:rPr>
  </w:style>
  <w:style w:type="character" w:styleId="MenoPendente">
    <w:name w:val="Unresolved Mention"/>
    <w:basedOn w:val="Fontepargpadro"/>
    <w:uiPriority w:val="99"/>
    <w:semiHidden/>
    <w:unhideWhenUsed/>
    <w:rsid w:val="00B47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3258">
      <w:bodyDiv w:val="1"/>
      <w:marLeft w:val="0"/>
      <w:marRight w:val="0"/>
      <w:marTop w:val="0"/>
      <w:marBottom w:val="0"/>
      <w:divBdr>
        <w:top w:val="none" w:sz="0" w:space="0" w:color="auto"/>
        <w:left w:val="none" w:sz="0" w:space="0" w:color="auto"/>
        <w:bottom w:val="none" w:sz="0" w:space="0" w:color="auto"/>
        <w:right w:val="none" w:sz="0" w:space="0" w:color="auto"/>
      </w:divBdr>
    </w:div>
    <w:div w:id="23294628">
      <w:bodyDiv w:val="1"/>
      <w:marLeft w:val="0"/>
      <w:marRight w:val="0"/>
      <w:marTop w:val="0"/>
      <w:marBottom w:val="0"/>
      <w:divBdr>
        <w:top w:val="none" w:sz="0" w:space="0" w:color="auto"/>
        <w:left w:val="none" w:sz="0" w:space="0" w:color="auto"/>
        <w:bottom w:val="none" w:sz="0" w:space="0" w:color="auto"/>
        <w:right w:val="none" w:sz="0" w:space="0" w:color="auto"/>
      </w:divBdr>
      <w:divsChild>
        <w:div w:id="124203909">
          <w:marLeft w:val="432"/>
          <w:marRight w:val="0"/>
          <w:marTop w:val="116"/>
          <w:marBottom w:val="0"/>
          <w:divBdr>
            <w:top w:val="none" w:sz="0" w:space="0" w:color="auto"/>
            <w:left w:val="none" w:sz="0" w:space="0" w:color="auto"/>
            <w:bottom w:val="none" w:sz="0" w:space="0" w:color="auto"/>
            <w:right w:val="none" w:sz="0" w:space="0" w:color="auto"/>
          </w:divBdr>
        </w:div>
        <w:div w:id="326982366">
          <w:marLeft w:val="432"/>
          <w:marRight w:val="0"/>
          <w:marTop w:val="116"/>
          <w:marBottom w:val="0"/>
          <w:divBdr>
            <w:top w:val="none" w:sz="0" w:space="0" w:color="auto"/>
            <w:left w:val="none" w:sz="0" w:space="0" w:color="auto"/>
            <w:bottom w:val="none" w:sz="0" w:space="0" w:color="auto"/>
            <w:right w:val="none" w:sz="0" w:space="0" w:color="auto"/>
          </w:divBdr>
        </w:div>
        <w:div w:id="1791048041">
          <w:marLeft w:val="432"/>
          <w:marRight w:val="0"/>
          <w:marTop w:val="116"/>
          <w:marBottom w:val="0"/>
          <w:divBdr>
            <w:top w:val="none" w:sz="0" w:space="0" w:color="auto"/>
            <w:left w:val="none" w:sz="0" w:space="0" w:color="auto"/>
            <w:bottom w:val="none" w:sz="0" w:space="0" w:color="auto"/>
            <w:right w:val="none" w:sz="0" w:space="0" w:color="auto"/>
          </w:divBdr>
        </w:div>
      </w:divsChild>
    </w:div>
    <w:div w:id="175006093">
      <w:bodyDiv w:val="1"/>
      <w:marLeft w:val="0"/>
      <w:marRight w:val="0"/>
      <w:marTop w:val="0"/>
      <w:marBottom w:val="0"/>
      <w:divBdr>
        <w:top w:val="none" w:sz="0" w:space="0" w:color="auto"/>
        <w:left w:val="none" w:sz="0" w:space="0" w:color="auto"/>
        <w:bottom w:val="none" w:sz="0" w:space="0" w:color="auto"/>
        <w:right w:val="none" w:sz="0" w:space="0" w:color="auto"/>
      </w:divBdr>
    </w:div>
    <w:div w:id="230818173">
      <w:bodyDiv w:val="1"/>
      <w:marLeft w:val="0"/>
      <w:marRight w:val="0"/>
      <w:marTop w:val="0"/>
      <w:marBottom w:val="0"/>
      <w:divBdr>
        <w:top w:val="none" w:sz="0" w:space="0" w:color="auto"/>
        <w:left w:val="none" w:sz="0" w:space="0" w:color="auto"/>
        <w:bottom w:val="none" w:sz="0" w:space="0" w:color="auto"/>
        <w:right w:val="none" w:sz="0" w:space="0" w:color="auto"/>
      </w:divBdr>
    </w:div>
    <w:div w:id="256867142">
      <w:bodyDiv w:val="1"/>
      <w:marLeft w:val="0"/>
      <w:marRight w:val="0"/>
      <w:marTop w:val="0"/>
      <w:marBottom w:val="0"/>
      <w:divBdr>
        <w:top w:val="none" w:sz="0" w:space="0" w:color="auto"/>
        <w:left w:val="none" w:sz="0" w:space="0" w:color="auto"/>
        <w:bottom w:val="none" w:sz="0" w:space="0" w:color="auto"/>
        <w:right w:val="none" w:sz="0" w:space="0" w:color="auto"/>
      </w:divBdr>
    </w:div>
    <w:div w:id="363167371">
      <w:bodyDiv w:val="1"/>
      <w:marLeft w:val="0"/>
      <w:marRight w:val="0"/>
      <w:marTop w:val="0"/>
      <w:marBottom w:val="0"/>
      <w:divBdr>
        <w:top w:val="none" w:sz="0" w:space="0" w:color="auto"/>
        <w:left w:val="none" w:sz="0" w:space="0" w:color="auto"/>
        <w:bottom w:val="none" w:sz="0" w:space="0" w:color="auto"/>
        <w:right w:val="none" w:sz="0" w:space="0" w:color="auto"/>
      </w:divBdr>
    </w:div>
    <w:div w:id="511727565">
      <w:bodyDiv w:val="1"/>
      <w:marLeft w:val="0"/>
      <w:marRight w:val="0"/>
      <w:marTop w:val="0"/>
      <w:marBottom w:val="0"/>
      <w:divBdr>
        <w:top w:val="none" w:sz="0" w:space="0" w:color="auto"/>
        <w:left w:val="none" w:sz="0" w:space="0" w:color="auto"/>
        <w:bottom w:val="none" w:sz="0" w:space="0" w:color="auto"/>
        <w:right w:val="none" w:sz="0" w:space="0" w:color="auto"/>
      </w:divBdr>
    </w:div>
    <w:div w:id="659692607">
      <w:bodyDiv w:val="1"/>
      <w:marLeft w:val="0"/>
      <w:marRight w:val="0"/>
      <w:marTop w:val="0"/>
      <w:marBottom w:val="0"/>
      <w:divBdr>
        <w:top w:val="none" w:sz="0" w:space="0" w:color="auto"/>
        <w:left w:val="none" w:sz="0" w:space="0" w:color="auto"/>
        <w:bottom w:val="none" w:sz="0" w:space="0" w:color="auto"/>
        <w:right w:val="none" w:sz="0" w:space="0" w:color="auto"/>
      </w:divBdr>
    </w:div>
    <w:div w:id="721713875">
      <w:bodyDiv w:val="1"/>
      <w:marLeft w:val="0"/>
      <w:marRight w:val="0"/>
      <w:marTop w:val="0"/>
      <w:marBottom w:val="0"/>
      <w:divBdr>
        <w:top w:val="none" w:sz="0" w:space="0" w:color="auto"/>
        <w:left w:val="none" w:sz="0" w:space="0" w:color="auto"/>
        <w:bottom w:val="none" w:sz="0" w:space="0" w:color="auto"/>
        <w:right w:val="none" w:sz="0" w:space="0" w:color="auto"/>
      </w:divBdr>
    </w:div>
    <w:div w:id="790978779">
      <w:bodyDiv w:val="1"/>
      <w:marLeft w:val="0"/>
      <w:marRight w:val="0"/>
      <w:marTop w:val="0"/>
      <w:marBottom w:val="0"/>
      <w:divBdr>
        <w:top w:val="none" w:sz="0" w:space="0" w:color="auto"/>
        <w:left w:val="none" w:sz="0" w:space="0" w:color="auto"/>
        <w:bottom w:val="none" w:sz="0" w:space="0" w:color="auto"/>
        <w:right w:val="none" w:sz="0" w:space="0" w:color="auto"/>
      </w:divBdr>
      <w:divsChild>
        <w:div w:id="933827564">
          <w:marLeft w:val="0"/>
          <w:marRight w:val="0"/>
          <w:marTop w:val="0"/>
          <w:marBottom w:val="0"/>
          <w:divBdr>
            <w:top w:val="none" w:sz="0" w:space="0" w:color="auto"/>
            <w:left w:val="none" w:sz="0" w:space="0" w:color="auto"/>
            <w:bottom w:val="none" w:sz="0" w:space="0" w:color="auto"/>
            <w:right w:val="none" w:sz="0" w:space="0" w:color="auto"/>
          </w:divBdr>
          <w:divsChild>
            <w:div w:id="608438447">
              <w:marLeft w:val="0"/>
              <w:marRight w:val="0"/>
              <w:marTop w:val="0"/>
              <w:marBottom w:val="0"/>
              <w:divBdr>
                <w:top w:val="none" w:sz="0" w:space="0" w:color="auto"/>
                <w:left w:val="none" w:sz="0" w:space="0" w:color="auto"/>
                <w:bottom w:val="none" w:sz="0" w:space="0" w:color="auto"/>
                <w:right w:val="none" w:sz="0" w:space="0" w:color="auto"/>
              </w:divBdr>
              <w:divsChild>
                <w:div w:id="275604157">
                  <w:marLeft w:val="0"/>
                  <w:marRight w:val="0"/>
                  <w:marTop w:val="0"/>
                  <w:marBottom w:val="0"/>
                  <w:divBdr>
                    <w:top w:val="none" w:sz="0" w:space="0" w:color="auto"/>
                    <w:left w:val="none" w:sz="0" w:space="0" w:color="auto"/>
                    <w:bottom w:val="none" w:sz="0" w:space="0" w:color="auto"/>
                    <w:right w:val="none" w:sz="0" w:space="0" w:color="auto"/>
                  </w:divBdr>
                  <w:divsChild>
                    <w:div w:id="1729186528">
                      <w:marLeft w:val="0"/>
                      <w:marRight w:val="0"/>
                      <w:marTop w:val="0"/>
                      <w:marBottom w:val="0"/>
                      <w:divBdr>
                        <w:top w:val="none" w:sz="0" w:space="0" w:color="auto"/>
                        <w:left w:val="none" w:sz="0" w:space="0" w:color="auto"/>
                        <w:bottom w:val="none" w:sz="0" w:space="0" w:color="auto"/>
                        <w:right w:val="none" w:sz="0" w:space="0" w:color="auto"/>
                      </w:divBdr>
                      <w:divsChild>
                        <w:div w:id="954865581">
                          <w:marLeft w:val="0"/>
                          <w:marRight w:val="0"/>
                          <w:marTop w:val="0"/>
                          <w:marBottom w:val="0"/>
                          <w:divBdr>
                            <w:top w:val="none" w:sz="0" w:space="0" w:color="auto"/>
                            <w:left w:val="none" w:sz="0" w:space="0" w:color="auto"/>
                            <w:bottom w:val="none" w:sz="0" w:space="0" w:color="auto"/>
                            <w:right w:val="none" w:sz="0" w:space="0" w:color="auto"/>
                          </w:divBdr>
                          <w:divsChild>
                            <w:div w:id="751972350">
                              <w:marLeft w:val="0"/>
                              <w:marRight w:val="300"/>
                              <w:marTop w:val="180"/>
                              <w:marBottom w:val="0"/>
                              <w:divBdr>
                                <w:top w:val="none" w:sz="0" w:space="0" w:color="auto"/>
                                <w:left w:val="none" w:sz="0" w:space="0" w:color="auto"/>
                                <w:bottom w:val="none" w:sz="0" w:space="0" w:color="auto"/>
                                <w:right w:val="none" w:sz="0" w:space="0" w:color="auto"/>
                              </w:divBdr>
                              <w:divsChild>
                                <w:div w:id="4621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94809">
          <w:marLeft w:val="0"/>
          <w:marRight w:val="0"/>
          <w:marTop w:val="0"/>
          <w:marBottom w:val="0"/>
          <w:divBdr>
            <w:top w:val="none" w:sz="0" w:space="0" w:color="auto"/>
            <w:left w:val="none" w:sz="0" w:space="0" w:color="auto"/>
            <w:bottom w:val="none" w:sz="0" w:space="0" w:color="auto"/>
            <w:right w:val="none" w:sz="0" w:space="0" w:color="auto"/>
          </w:divBdr>
          <w:divsChild>
            <w:div w:id="1251693668">
              <w:marLeft w:val="0"/>
              <w:marRight w:val="0"/>
              <w:marTop w:val="0"/>
              <w:marBottom w:val="0"/>
              <w:divBdr>
                <w:top w:val="none" w:sz="0" w:space="0" w:color="auto"/>
                <w:left w:val="none" w:sz="0" w:space="0" w:color="auto"/>
                <w:bottom w:val="none" w:sz="0" w:space="0" w:color="auto"/>
                <w:right w:val="none" w:sz="0" w:space="0" w:color="auto"/>
              </w:divBdr>
              <w:divsChild>
                <w:div w:id="2044937776">
                  <w:marLeft w:val="0"/>
                  <w:marRight w:val="0"/>
                  <w:marTop w:val="0"/>
                  <w:marBottom w:val="0"/>
                  <w:divBdr>
                    <w:top w:val="none" w:sz="0" w:space="0" w:color="auto"/>
                    <w:left w:val="none" w:sz="0" w:space="0" w:color="auto"/>
                    <w:bottom w:val="none" w:sz="0" w:space="0" w:color="auto"/>
                    <w:right w:val="none" w:sz="0" w:space="0" w:color="auto"/>
                  </w:divBdr>
                  <w:divsChild>
                    <w:div w:id="2146700078">
                      <w:marLeft w:val="0"/>
                      <w:marRight w:val="0"/>
                      <w:marTop w:val="0"/>
                      <w:marBottom w:val="0"/>
                      <w:divBdr>
                        <w:top w:val="none" w:sz="0" w:space="0" w:color="auto"/>
                        <w:left w:val="none" w:sz="0" w:space="0" w:color="auto"/>
                        <w:bottom w:val="none" w:sz="0" w:space="0" w:color="auto"/>
                        <w:right w:val="none" w:sz="0" w:space="0" w:color="auto"/>
                      </w:divBdr>
                      <w:divsChild>
                        <w:div w:id="11673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67387">
      <w:bodyDiv w:val="1"/>
      <w:marLeft w:val="0"/>
      <w:marRight w:val="0"/>
      <w:marTop w:val="0"/>
      <w:marBottom w:val="0"/>
      <w:divBdr>
        <w:top w:val="none" w:sz="0" w:space="0" w:color="auto"/>
        <w:left w:val="none" w:sz="0" w:space="0" w:color="auto"/>
        <w:bottom w:val="none" w:sz="0" w:space="0" w:color="auto"/>
        <w:right w:val="none" w:sz="0" w:space="0" w:color="auto"/>
      </w:divBdr>
    </w:div>
    <w:div w:id="1414084004">
      <w:bodyDiv w:val="1"/>
      <w:marLeft w:val="0"/>
      <w:marRight w:val="0"/>
      <w:marTop w:val="0"/>
      <w:marBottom w:val="0"/>
      <w:divBdr>
        <w:top w:val="none" w:sz="0" w:space="0" w:color="auto"/>
        <w:left w:val="none" w:sz="0" w:space="0" w:color="auto"/>
        <w:bottom w:val="none" w:sz="0" w:space="0" w:color="auto"/>
        <w:right w:val="none" w:sz="0" w:space="0" w:color="auto"/>
      </w:divBdr>
    </w:div>
    <w:div w:id="1848015354">
      <w:bodyDiv w:val="1"/>
      <w:marLeft w:val="0"/>
      <w:marRight w:val="0"/>
      <w:marTop w:val="0"/>
      <w:marBottom w:val="0"/>
      <w:divBdr>
        <w:top w:val="none" w:sz="0" w:space="0" w:color="auto"/>
        <w:left w:val="none" w:sz="0" w:space="0" w:color="auto"/>
        <w:bottom w:val="none" w:sz="0" w:space="0" w:color="auto"/>
        <w:right w:val="none" w:sz="0" w:space="0" w:color="auto"/>
      </w:divBdr>
    </w:div>
    <w:div w:id="2025521256">
      <w:bodyDiv w:val="1"/>
      <w:marLeft w:val="0"/>
      <w:marRight w:val="0"/>
      <w:marTop w:val="0"/>
      <w:marBottom w:val="0"/>
      <w:divBdr>
        <w:top w:val="none" w:sz="0" w:space="0" w:color="auto"/>
        <w:left w:val="none" w:sz="0" w:space="0" w:color="auto"/>
        <w:bottom w:val="none" w:sz="0" w:space="0" w:color="auto"/>
        <w:right w:val="none" w:sz="0" w:space="0" w:color="auto"/>
      </w:divBdr>
      <w:divsChild>
        <w:div w:id="262610729">
          <w:marLeft w:val="432"/>
          <w:marRight w:val="0"/>
          <w:marTop w:val="116"/>
          <w:marBottom w:val="0"/>
          <w:divBdr>
            <w:top w:val="none" w:sz="0" w:space="0" w:color="auto"/>
            <w:left w:val="none" w:sz="0" w:space="0" w:color="auto"/>
            <w:bottom w:val="none" w:sz="0" w:space="0" w:color="auto"/>
            <w:right w:val="none" w:sz="0" w:space="0" w:color="auto"/>
          </w:divBdr>
        </w:div>
      </w:divsChild>
    </w:div>
    <w:div w:id="2105490508">
      <w:bodyDiv w:val="1"/>
      <w:marLeft w:val="0"/>
      <w:marRight w:val="0"/>
      <w:marTop w:val="0"/>
      <w:marBottom w:val="0"/>
      <w:divBdr>
        <w:top w:val="none" w:sz="0" w:space="0" w:color="auto"/>
        <w:left w:val="none" w:sz="0" w:space="0" w:color="auto"/>
        <w:bottom w:val="none" w:sz="0" w:space="0" w:color="auto"/>
        <w:right w:val="none" w:sz="0" w:space="0" w:color="auto"/>
      </w:divBdr>
    </w:div>
    <w:div w:id="21336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dicinanet.com.br/cid10/2065/m82_osteoporose_em_doencas_classificadas_em_outra_parte.htm" TargetMode="External"/><Relationship Id="rId18" Type="http://schemas.openxmlformats.org/officeDocument/2006/relationships/hyperlink" Target="http://www3.dataprev.gov.br/aeat" TargetMode="External"/><Relationship Id="rId3" Type="http://schemas.openxmlformats.org/officeDocument/2006/relationships/styles" Target="styles.xml"/><Relationship Id="rId21" Type="http://schemas.openxmlformats.org/officeDocument/2006/relationships/hyperlink" Target="https://www.ilo.org/public/english/standards/relm/ilc/ilc90/pdf/rep-vi.pdf" TargetMode="External"/><Relationship Id="rId7" Type="http://schemas.openxmlformats.org/officeDocument/2006/relationships/endnotes" Target="endnotes.xml"/><Relationship Id="rId12" Type="http://schemas.openxmlformats.org/officeDocument/2006/relationships/hyperlink" Target="https://www.medicinanet.com.br/cid10/2010/m09_artrite_juvenil_em_doencas_classificadas_em_outra_parte.htm" TargetMode="External"/><Relationship Id="rId17" Type="http://schemas.openxmlformats.org/officeDocument/2006/relationships/hyperlink" Target="https://enit.trabalho.gov.br/portal/images/Arquivos_SST/SST_NR/NR-17.pdf" TargetMode="External"/><Relationship Id="rId2" Type="http://schemas.openxmlformats.org/officeDocument/2006/relationships/numbering" Target="numbering.xml"/><Relationship Id="rId16" Type="http://schemas.openxmlformats.org/officeDocument/2006/relationships/hyperlink" Target="http://www.planalto.gov.br/ccivil_03/leis/l8213cons.htm" TargetMode="External"/><Relationship Id="rId20" Type="http://schemas.openxmlformats.org/officeDocument/2006/relationships/hyperlink" Target="https://cidades.ibge.gov.br/brasil/df/brasilia/pesquisa/1/74454?ano=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anet.com.br/cid10/2005/m03_artropatias_pos_infecciosas_e_reacionais_em_doencas_infecciosas_classificadas_em_outra_parte.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medicinanet.com.br/cid10/2003/m01_infeccoes_diretas_da_articulacao_em_doencas_infecciosas_e_parasitarias_classificadas_em_outra_parte.htm" TargetMode="External"/><Relationship Id="rId19" Type="http://schemas.openxmlformats.org/officeDocument/2006/relationships/hyperlink" Target="https://censo2010.ibge.gov.br/sinops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medicinanet.com.br/cid10/2071/m88_doenca_de_paget_do_osso_osteite_deformante.htm" TargetMode="External"/><Relationship Id="rId22" Type="http://schemas.openxmlformats.org/officeDocument/2006/relationships/hyperlink" Target="https://www.cdc.gov/niosh/docs/97-141/default.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Indicadores!$Q$21</c:f>
              <c:strCache>
                <c:ptCount val="1"/>
                <c:pt idx="0">
                  <c:v>Doenças osteomusculares (DORT)</c:v>
                </c:pt>
              </c:strCache>
            </c:strRef>
          </c:tx>
          <c:spPr>
            <a:solidFill>
              <a:schemeClr val="accent5">
                <a:lumMod val="75000"/>
                <a:alpha val="75000"/>
              </a:schemeClr>
            </a:solidFill>
            <a:ln w="9525" cap="flat" cmpd="sng" algn="ctr">
              <a:solidFill>
                <a:schemeClr val="accent5">
                  <a:lumMod val="50000"/>
                  <a:alpha val="75000"/>
                </a:schemeClr>
              </a:solidFill>
              <a:round/>
            </a:ln>
            <a:effectLst/>
          </c:spPr>
          <c:invertIfNegative val="0"/>
          <c:cat>
            <c:numRef>
              <c:f>Indicadores!$P$22:$P$36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Indicadores!$Q$22:$Q$36</c:f>
              <c:numCache>
                <c:formatCode>#,##0</c:formatCode>
                <c:ptCount val="15"/>
                <c:pt idx="0">
                  <c:v>7025</c:v>
                </c:pt>
                <c:pt idx="1">
                  <c:v>9017</c:v>
                </c:pt>
                <c:pt idx="2">
                  <c:v>9166</c:v>
                </c:pt>
                <c:pt idx="3">
                  <c:v>8022</c:v>
                </c:pt>
                <c:pt idx="4">
                  <c:v>5161</c:v>
                </c:pt>
                <c:pt idx="5">
                  <c:v>4785</c:v>
                </c:pt>
                <c:pt idx="6">
                  <c:v>4444</c:v>
                </c:pt>
                <c:pt idx="7">
                  <c:v>4142</c:v>
                </c:pt>
                <c:pt idx="8">
                  <c:v>4441</c:v>
                </c:pt>
                <c:pt idx="9">
                  <c:v>4539</c:v>
                </c:pt>
                <c:pt idx="10">
                  <c:v>4455</c:v>
                </c:pt>
                <c:pt idx="11">
                  <c:v>4098</c:v>
                </c:pt>
                <c:pt idx="12">
                  <c:v>3594</c:v>
                </c:pt>
                <c:pt idx="13">
                  <c:v>3017</c:v>
                </c:pt>
                <c:pt idx="14">
                  <c:v>1688</c:v>
                </c:pt>
              </c:numCache>
            </c:numRef>
          </c:val>
          <c:extLst>
            <c:ext xmlns:c16="http://schemas.microsoft.com/office/drawing/2014/chart" uri="{C3380CC4-5D6E-409C-BE32-E72D297353CC}">
              <c16:uniqueId val="{00000000-C4D4-4260-B3AB-E354C9B74B90}"/>
            </c:ext>
          </c:extLst>
        </c:ser>
        <c:ser>
          <c:idx val="1"/>
          <c:order val="1"/>
          <c:tx>
            <c:strRef>
              <c:f>Indicadores!$R$21</c:f>
              <c:strCache>
                <c:ptCount val="1"/>
                <c:pt idx="0">
                  <c:v>Outras doenças ocupacionais</c:v>
                </c:pt>
              </c:strCache>
            </c:strRef>
          </c:tx>
          <c:spPr>
            <a:solidFill>
              <a:schemeClr val="bg1">
                <a:lumMod val="65000"/>
                <a:alpha val="75000"/>
              </a:schemeClr>
            </a:solidFill>
            <a:ln w="9525" cap="flat" cmpd="sng" algn="ctr">
              <a:solidFill>
                <a:schemeClr val="bg1">
                  <a:lumMod val="50000"/>
                  <a:alpha val="75000"/>
                </a:schemeClr>
              </a:solidFill>
              <a:round/>
            </a:ln>
            <a:effectLst/>
          </c:spPr>
          <c:invertIfNegative val="0"/>
          <c:cat>
            <c:numRef>
              <c:f>Indicadores!$P$22:$P$36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Indicadores!$R$22:$R$36</c:f>
              <c:numCache>
                <c:formatCode>#,##0</c:formatCode>
                <c:ptCount val="15"/>
                <c:pt idx="0">
                  <c:v>2620</c:v>
                </c:pt>
                <c:pt idx="1">
                  <c:v>3072</c:v>
                </c:pt>
                <c:pt idx="2">
                  <c:v>3706</c:v>
                </c:pt>
                <c:pt idx="3">
                  <c:v>2991</c:v>
                </c:pt>
                <c:pt idx="4">
                  <c:v>2200</c:v>
                </c:pt>
                <c:pt idx="5">
                  <c:v>2147</c:v>
                </c:pt>
                <c:pt idx="6">
                  <c:v>2044</c:v>
                </c:pt>
                <c:pt idx="7">
                  <c:v>1826</c:v>
                </c:pt>
                <c:pt idx="8">
                  <c:v>1771</c:v>
                </c:pt>
                <c:pt idx="9">
                  <c:v>2017</c:v>
                </c:pt>
                <c:pt idx="10">
                  <c:v>2100</c:v>
                </c:pt>
                <c:pt idx="11">
                  <c:v>2097</c:v>
                </c:pt>
                <c:pt idx="12">
                  <c:v>1892</c:v>
                </c:pt>
                <c:pt idx="13">
                  <c:v>1819</c:v>
                </c:pt>
                <c:pt idx="14">
                  <c:v>1374</c:v>
                </c:pt>
              </c:numCache>
            </c:numRef>
          </c:val>
          <c:extLst>
            <c:ext xmlns:c16="http://schemas.microsoft.com/office/drawing/2014/chart" uri="{C3380CC4-5D6E-409C-BE32-E72D297353CC}">
              <c16:uniqueId val="{00000001-C4D4-4260-B3AB-E354C9B74B90}"/>
            </c:ext>
          </c:extLst>
        </c:ser>
        <c:dLbls>
          <c:showLegendKey val="0"/>
          <c:showVal val="0"/>
          <c:showCatName val="0"/>
          <c:showSerName val="0"/>
          <c:showPercent val="0"/>
          <c:showBubbleSize val="0"/>
        </c:dLbls>
        <c:gapWidth val="150"/>
        <c:overlap val="100"/>
        <c:axId val="1295724656"/>
        <c:axId val="1181251024"/>
      </c:barChart>
      <c:catAx>
        <c:axId val="129572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pt-BR"/>
          </a:p>
        </c:txPr>
        <c:crossAx val="1181251024"/>
        <c:crosses val="autoZero"/>
        <c:auto val="1"/>
        <c:lblAlgn val="ctr"/>
        <c:lblOffset val="100"/>
        <c:noMultiLvlLbl val="0"/>
      </c:catAx>
      <c:valAx>
        <c:axId val="1181251024"/>
        <c:scaling>
          <c:orientation val="minMax"/>
          <c:max val="13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pt-BR"/>
          </a:p>
        </c:txPr>
        <c:crossAx val="1295724656"/>
        <c:crosses val="autoZero"/>
        <c:crossBetween val="between"/>
        <c:majorUnit val="1000"/>
        <c:min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12700" cap="flat" cmpd="sng" algn="ctr">
      <a:noFill/>
      <a:prstDash val="solid"/>
      <a:miter lim="800000"/>
    </a:ln>
    <a:effectLst/>
  </c:spPr>
  <c:txPr>
    <a:bodyPr/>
    <a:lstStyle/>
    <a:p>
      <a:pPr>
        <a:defRPr sz="1000">
          <a:solidFill>
            <a:schemeClr val="dk1"/>
          </a:solidFill>
          <a:latin typeface="Arial" panose="020B0604020202020204" pitchFamily="34" charset="0"/>
          <a:ea typeface="+mn-ea"/>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E500-03B5-453E-9A60-BB6E44D8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3571</Words>
  <Characters>19284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2020-05-16T12:20:00Z</dcterms:created>
  <dcterms:modified xsi:type="dcterms:W3CDTF">2020-06-04T13:50:00Z</dcterms:modified>
</cp:coreProperties>
</file>